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1D3B44" w14:textId="66659415" w:rsidR="009F0B3F" w:rsidRPr="000A1ACA" w:rsidRDefault="00BB6229" w:rsidP="005E7423">
      <w:pPr>
        <w:tabs>
          <w:tab w:val="left" w:pos="0"/>
          <w:tab w:val="left" w:pos="1134"/>
          <w:tab w:val="left" w:pos="1635"/>
        </w:tabs>
        <w:spacing w:after="0" w:line="240" w:lineRule="auto"/>
        <w:ind w:left="426" w:right="678" w:firstLine="6"/>
        <w:rPr>
          <w:rFonts w:ascii="Aptos" w:hAnsi="Aptos" w:cs="Calibri"/>
          <w:b/>
          <w:sz w:val="52"/>
          <w:szCs w:val="52"/>
          <w:lang w:val="en-GB"/>
        </w:rPr>
      </w:pPr>
      <w:r w:rsidRPr="000A1ACA">
        <w:rPr>
          <w:rFonts w:ascii="Aptos" w:hAnsi="Aptos"/>
          <w:noProof/>
          <w:lang w:val="en-GB" w:eastAsia="fr-CH"/>
        </w:rPr>
        <mc:AlternateContent>
          <mc:Choice Requires="wps">
            <w:drawing>
              <wp:anchor distT="0" distB="0" distL="114300" distR="114300" simplePos="0" relativeHeight="251658752" behindDoc="0" locked="0" layoutInCell="1" allowOverlap="1" wp14:anchorId="1C21EC8B" wp14:editId="6844236F">
                <wp:simplePos x="0" y="0"/>
                <wp:positionH relativeFrom="page">
                  <wp:posOffset>4348480</wp:posOffset>
                </wp:positionH>
                <wp:positionV relativeFrom="paragraph">
                  <wp:posOffset>2623820</wp:posOffset>
                </wp:positionV>
                <wp:extent cx="3531870" cy="624840"/>
                <wp:effectExtent l="0" t="0" r="0" b="381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1870" cy="624840"/>
                        </a:xfrm>
                        <a:prstGeom prst="rect">
                          <a:avLst/>
                        </a:prstGeom>
                        <a:solidFill>
                          <a:srgbClr val="C00000"/>
                        </a:solidFill>
                        <a:ln w="9525">
                          <a:noFill/>
                          <a:miter lim="800000"/>
                          <a:headEnd/>
                          <a:tailEnd/>
                        </a:ln>
                      </wps:spPr>
                      <wps:txbx>
                        <w:txbxContent>
                          <w:p w14:paraId="3A8C1CCA" w14:textId="77777777" w:rsidR="000970E5" w:rsidRPr="005E7423" w:rsidRDefault="008F0704" w:rsidP="000970E5">
                            <w:pPr>
                              <w:spacing w:after="0"/>
                              <w:jc w:val="center"/>
                              <w:rPr>
                                <w:rFonts w:ascii="Calibri Light" w:hAnsi="Calibri Light" w:cs="Calibri Light"/>
                                <w:b/>
                                <w:bCs/>
                                <w:sz w:val="32"/>
                                <w:szCs w:val="32"/>
                              </w:rPr>
                            </w:pPr>
                            <w:r w:rsidRPr="000970E5">
                              <w:rPr>
                                <w:b/>
                                <w:color w:val="FFFFFF" w:themeColor="background1"/>
                                <w:sz w:val="40"/>
                                <w:szCs w:val="40"/>
                                <w:lang w:val="fr-CH"/>
                              </w:rPr>
                              <w:t xml:space="preserve"> </w:t>
                            </w:r>
                            <w:proofErr w:type="spellStart"/>
                            <w:r w:rsidR="00A30AFD" w:rsidRPr="005E7423">
                              <w:rPr>
                                <w:rFonts w:ascii="Calibri Light" w:hAnsi="Calibri Light" w:cs="Calibri Light"/>
                                <w:b/>
                                <w:bCs/>
                                <w:sz w:val="32"/>
                                <w:szCs w:val="32"/>
                              </w:rPr>
                              <w:t>November</w:t>
                            </w:r>
                            <w:proofErr w:type="spellEnd"/>
                            <w:r w:rsidR="00A30AFD" w:rsidRPr="005E7423">
                              <w:rPr>
                                <w:rFonts w:ascii="Calibri Light" w:hAnsi="Calibri Light" w:cs="Calibri Light"/>
                                <w:b/>
                                <w:bCs/>
                                <w:sz w:val="32"/>
                                <w:szCs w:val="32"/>
                              </w:rPr>
                              <w:t xml:space="preserve"> 19–20, 2025</w:t>
                            </w:r>
                          </w:p>
                          <w:p w14:paraId="216DB6F7" w14:textId="248D864D" w:rsidR="00A30AFD" w:rsidRPr="005E7423" w:rsidRDefault="00A30AFD" w:rsidP="000970E5">
                            <w:pPr>
                              <w:spacing w:after="0"/>
                              <w:jc w:val="center"/>
                              <w:rPr>
                                <w:rFonts w:ascii="Calibri Light" w:hAnsi="Calibri Light" w:cs="Calibri Light"/>
                                <w:b/>
                                <w:bCs/>
                                <w:sz w:val="32"/>
                                <w:szCs w:val="32"/>
                              </w:rPr>
                            </w:pPr>
                            <w:r w:rsidRPr="005E7423">
                              <w:rPr>
                                <w:rFonts w:ascii="Calibri Light" w:hAnsi="Calibri Light" w:cs="Calibri Light"/>
                                <w:b/>
                                <w:bCs/>
                                <w:sz w:val="32"/>
                                <w:szCs w:val="32"/>
                              </w:rPr>
                              <w:t>S</w:t>
                            </w:r>
                            <w:r w:rsidR="00A77483" w:rsidRPr="005E7423">
                              <w:rPr>
                                <w:rFonts w:ascii="Calibri Light" w:hAnsi="Calibri Light" w:cs="Calibri Light"/>
                                <w:b/>
                                <w:bCs/>
                                <w:sz w:val="32"/>
                                <w:szCs w:val="32"/>
                              </w:rPr>
                              <w:t>ICL</w:t>
                            </w:r>
                            <w:r w:rsidRPr="005E7423">
                              <w:rPr>
                                <w:rFonts w:ascii="Calibri Light" w:hAnsi="Calibri Light" w:cs="Calibri Light"/>
                                <w:b/>
                                <w:bCs/>
                                <w:sz w:val="32"/>
                                <w:szCs w:val="32"/>
                              </w:rPr>
                              <w:t>, Lausanne</w:t>
                            </w:r>
                          </w:p>
                          <w:p w14:paraId="38BA8045" w14:textId="0910E58B" w:rsidR="008F0704" w:rsidRPr="000970E5" w:rsidRDefault="008F0704" w:rsidP="000970E5">
                            <w:pPr>
                              <w:spacing w:after="0"/>
                              <w:rPr>
                                <w:b/>
                                <w:color w:val="FFFFFF" w:themeColor="background1"/>
                                <w:sz w:val="40"/>
                                <w:szCs w:val="40"/>
                                <w:lang w:val="fr-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21EC8B" id="_x0000_t202" coordsize="21600,21600" o:spt="202" path="m,l,21600r21600,l21600,xe">
                <v:stroke joinstyle="miter"/>
                <v:path gradientshapeok="t" o:connecttype="rect"/>
              </v:shapetype>
              <v:shape id="Text Box 6" o:spid="_x0000_s1026" type="#_x0000_t202" style="position:absolute;left:0;text-align:left;margin-left:342.4pt;margin-top:206.6pt;width:278.1pt;height:49.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" fillcolor="#c00000" stroked="f">
                <v:textbox>
                  <w:txbxContent>
                    <w:p w14:paraId="3A8C1CCA" w14:textId="77777777" w:rsidR="000970E5" w:rsidRPr="005E7423" w:rsidRDefault="008F0704" w:rsidP="000970E5">
                      <w:pPr>
                        <w:spacing w:after="0"/>
                        <w:jc w:val="center"/>
                        <w:rPr>
                          <w:rFonts w:ascii="Calibri Light" w:hAnsi="Calibri Light" w:cs="Calibri Light"/>
                          <w:b/>
                          <w:bCs/>
                          <w:sz w:val="32"/>
                          <w:szCs w:val="32"/>
                        </w:rPr>
                      </w:pPr>
                      <w:r w:rsidRPr="000970E5">
                        <w:rPr>
                          <w:b/>
                          <w:color w:val="FFFFFF" w:themeColor="background1"/>
                          <w:sz w:val="40"/>
                          <w:szCs w:val="40"/>
                          <w:lang w:val="fr-CH"/>
                        </w:rPr>
                        <w:t xml:space="preserve"> </w:t>
                      </w:r>
                      <w:proofErr w:type="spellStart"/>
                      <w:r w:rsidR="00A30AFD" w:rsidRPr="005E7423">
                        <w:rPr>
                          <w:rFonts w:ascii="Calibri Light" w:hAnsi="Calibri Light" w:cs="Calibri Light"/>
                          <w:b/>
                          <w:bCs/>
                          <w:sz w:val="32"/>
                          <w:szCs w:val="32"/>
                        </w:rPr>
                        <w:t>November</w:t>
                      </w:r>
                      <w:proofErr w:type="spellEnd"/>
                      <w:r w:rsidR="00A30AFD" w:rsidRPr="005E7423">
                        <w:rPr>
                          <w:rFonts w:ascii="Calibri Light" w:hAnsi="Calibri Light" w:cs="Calibri Light"/>
                          <w:b/>
                          <w:bCs/>
                          <w:sz w:val="32"/>
                          <w:szCs w:val="32"/>
                        </w:rPr>
                        <w:t xml:space="preserve"> 19–20, 2025</w:t>
                      </w:r>
                    </w:p>
                    <w:p w14:paraId="216DB6F7" w14:textId="248D864D" w:rsidR="00A30AFD" w:rsidRPr="005E7423" w:rsidRDefault="00A30AFD" w:rsidP="000970E5">
                      <w:pPr>
                        <w:spacing w:after="0"/>
                        <w:jc w:val="center"/>
                        <w:rPr>
                          <w:rFonts w:ascii="Calibri Light" w:hAnsi="Calibri Light" w:cs="Calibri Light"/>
                          <w:b/>
                          <w:bCs/>
                          <w:sz w:val="32"/>
                          <w:szCs w:val="32"/>
                        </w:rPr>
                      </w:pPr>
                      <w:r w:rsidRPr="005E7423">
                        <w:rPr>
                          <w:rFonts w:ascii="Calibri Light" w:hAnsi="Calibri Light" w:cs="Calibri Light"/>
                          <w:b/>
                          <w:bCs/>
                          <w:sz w:val="32"/>
                          <w:szCs w:val="32"/>
                        </w:rPr>
                        <w:t>S</w:t>
                      </w:r>
                      <w:r w:rsidR="00A77483" w:rsidRPr="005E7423">
                        <w:rPr>
                          <w:rFonts w:ascii="Calibri Light" w:hAnsi="Calibri Light" w:cs="Calibri Light"/>
                          <w:b/>
                          <w:bCs/>
                          <w:sz w:val="32"/>
                          <w:szCs w:val="32"/>
                        </w:rPr>
                        <w:t>ICL</w:t>
                      </w:r>
                      <w:r w:rsidRPr="005E7423">
                        <w:rPr>
                          <w:rFonts w:ascii="Calibri Light" w:hAnsi="Calibri Light" w:cs="Calibri Light"/>
                          <w:b/>
                          <w:bCs/>
                          <w:sz w:val="32"/>
                          <w:szCs w:val="32"/>
                        </w:rPr>
                        <w:t>, Lausanne</w:t>
                      </w:r>
                    </w:p>
                    <w:p w14:paraId="38BA8045" w14:textId="0910E58B" w:rsidR="008F0704" w:rsidRPr="000970E5" w:rsidRDefault="008F0704" w:rsidP="000970E5">
                      <w:pPr>
                        <w:spacing w:after="0"/>
                        <w:rPr>
                          <w:b/>
                          <w:color w:val="FFFFFF" w:themeColor="background1"/>
                          <w:sz w:val="40"/>
                          <w:szCs w:val="40"/>
                          <w:lang w:val="fr-CH"/>
                        </w:rPr>
                      </w:pPr>
                    </w:p>
                  </w:txbxContent>
                </v:textbox>
                <w10:wrap anchorx="page"/>
              </v:shape>
            </w:pict>
          </mc:Fallback>
        </mc:AlternateContent>
      </w:r>
      <w:r w:rsidRPr="000A1ACA">
        <w:rPr>
          <w:rFonts w:ascii="Aptos" w:hAnsi="Aptos"/>
          <w:noProof/>
          <w:lang w:val="en-GB" w:eastAsia="fr-CH"/>
        </w:rPr>
        <mc:AlternateContent>
          <mc:Choice Requires="wps">
            <w:drawing>
              <wp:anchor distT="0" distB="0" distL="114300" distR="114300" simplePos="0" relativeHeight="251664896" behindDoc="0" locked="0" layoutInCell="1" allowOverlap="1" wp14:anchorId="2F997414" wp14:editId="76E78E5B">
                <wp:simplePos x="0" y="0"/>
                <wp:positionH relativeFrom="page">
                  <wp:posOffset>0</wp:posOffset>
                </wp:positionH>
                <wp:positionV relativeFrom="paragraph">
                  <wp:posOffset>2366010</wp:posOffset>
                </wp:positionV>
                <wp:extent cx="10932795" cy="263236"/>
                <wp:effectExtent l="0" t="0" r="1905" b="3810"/>
                <wp:wrapNone/>
                <wp:docPr id="92839056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2795" cy="263236"/>
                        </a:xfrm>
                        <a:prstGeom prst="rect">
                          <a:avLst/>
                        </a:prstGeom>
                        <a:solidFill>
                          <a:srgbClr val="C00000"/>
                        </a:solidFill>
                        <a:ln w="9525">
                          <a:noFill/>
                          <a:miter lim="800000"/>
                          <a:headEnd/>
                          <a:tailEnd/>
                        </a:ln>
                      </wps:spPr>
                      <wps:txbx>
                        <w:txbxContent>
                          <w:p w14:paraId="00D89CEE" w14:textId="77777777" w:rsidR="000970E5" w:rsidRPr="0093155A" w:rsidRDefault="000970E5" w:rsidP="000970E5">
                            <w:pPr>
                              <w:spacing w:after="0"/>
                              <w:rPr>
                                <w:b/>
                                <w:color w:val="FFFFFF" w:themeColor="background1"/>
                                <w:sz w:val="44"/>
                                <w:szCs w:val="44"/>
                                <w:lang w:val="fr-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97414" id="_x0000_s1027" type="#_x0000_t202" style="position:absolute;left:0;text-align:left;margin-left:0;margin-top:186.3pt;width:860.85pt;height:20.7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" fillcolor="#c00000" stroked="f">
                <v:textbox>
                  <w:txbxContent>
                    <w:p w14:paraId="00D89CEE" w14:textId="77777777" w:rsidR="000970E5" w:rsidRPr="0093155A" w:rsidRDefault="000970E5" w:rsidP="000970E5">
                      <w:pPr>
                        <w:spacing w:after="0"/>
                        <w:rPr>
                          <w:b/>
                          <w:color w:val="FFFFFF" w:themeColor="background1"/>
                          <w:sz w:val="44"/>
                          <w:szCs w:val="44"/>
                          <w:lang w:val="fr-CH"/>
                        </w:rPr>
                      </w:pPr>
                    </w:p>
                  </w:txbxContent>
                </v:textbox>
                <w10:wrap anchorx="page"/>
              </v:shape>
            </w:pict>
          </mc:Fallback>
        </mc:AlternateContent>
      </w:r>
      <w:r w:rsidR="005E7423" w:rsidRPr="000A1ACA">
        <w:rPr>
          <w:rFonts w:ascii="Aptos" w:hAnsi="Aptos"/>
          <w:noProof/>
          <w:lang w:val="en-GB" w:eastAsia="fr-CH"/>
        </w:rPr>
        <w:drawing>
          <wp:anchor distT="0" distB="0" distL="114300" distR="114300" simplePos="0" relativeHeight="251657728" behindDoc="1" locked="0" layoutInCell="1" allowOverlap="1" wp14:anchorId="27D52749" wp14:editId="055DB67F">
            <wp:simplePos x="0" y="0"/>
            <wp:positionH relativeFrom="page">
              <wp:posOffset>99060</wp:posOffset>
            </wp:positionH>
            <wp:positionV relativeFrom="paragraph">
              <wp:posOffset>2898775</wp:posOffset>
            </wp:positionV>
            <wp:extent cx="3185160" cy="584200"/>
            <wp:effectExtent l="0" t="0" r="0" b="6350"/>
            <wp:wrapTight wrapText="bothSides">
              <wp:wrapPolygon edited="0">
                <wp:start x="0" y="0"/>
                <wp:lineTo x="0" y="21130"/>
                <wp:lineTo x="21445" y="21130"/>
                <wp:lineTo x="21445" y="0"/>
                <wp:lineTo x="0" y="0"/>
              </wp:wrapPolygon>
            </wp:wrapTight>
            <wp:docPr id="5" name="Image 5"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516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4229" w:rsidRPr="000A1ACA">
        <w:rPr>
          <w:rFonts w:ascii="Aptos" w:hAnsi="Aptos" w:cs="Calibri"/>
          <w:b/>
          <w:sz w:val="52"/>
          <w:szCs w:val="52"/>
          <w:lang w:val="en-GB"/>
        </w:rPr>
        <w:tab/>
      </w:r>
      <w:r w:rsidR="00364229" w:rsidRPr="000A1ACA">
        <w:rPr>
          <w:rFonts w:ascii="Aptos" w:hAnsi="Aptos" w:cs="Calibri"/>
          <w:b/>
          <w:sz w:val="52"/>
          <w:szCs w:val="52"/>
          <w:lang w:val="en-GB"/>
        </w:rPr>
        <w:tab/>
      </w:r>
      <w:r w:rsidR="00364229" w:rsidRPr="000A1ACA">
        <w:rPr>
          <w:rFonts w:ascii="Aptos" w:hAnsi="Aptos" w:cs="Calibri"/>
          <w:b/>
          <w:sz w:val="52"/>
          <w:szCs w:val="52"/>
          <w:lang w:val="en-GB"/>
        </w:rPr>
        <w:tab/>
      </w:r>
      <w:r w:rsidR="00364229" w:rsidRPr="000A1ACA">
        <w:rPr>
          <w:rFonts w:ascii="Aptos" w:hAnsi="Aptos" w:cs="Calibri"/>
          <w:b/>
          <w:sz w:val="52"/>
          <w:szCs w:val="52"/>
          <w:lang w:val="en-GB"/>
        </w:rPr>
        <w:tab/>
      </w:r>
      <w:r w:rsidR="0093155A" w:rsidRPr="000A1ACA">
        <w:rPr>
          <w:rFonts w:ascii="Aptos" w:hAnsi="Aptos" w:cs="Calibri"/>
          <w:b/>
          <w:sz w:val="52"/>
          <w:szCs w:val="52"/>
          <w:lang w:val="en-GB"/>
        </w:rPr>
        <w:tab/>
      </w:r>
      <w:r w:rsidR="00364229" w:rsidRPr="000A1ACA">
        <w:rPr>
          <w:rFonts w:ascii="Aptos" w:hAnsi="Aptos" w:cs="Calibri"/>
          <w:b/>
          <w:sz w:val="52"/>
          <w:szCs w:val="52"/>
          <w:lang w:val="en-GB"/>
        </w:rPr>
        <w:tab/>
      </w:r>
    </w:p>
    <w:p w14:paraId="5905C0BA" w14:textId="0B3BBB7A" w:rsidR="00260FC8" w:rsidRPr="000A1ACA" w:rsidRDefault="00260FC8" w:rsidP="005E7423">
      <w:pPr>
        <w:tabs>
          <w:tab w:val="left" w:pos="0"/>
        </w:tabs>
        <w:spacing w:after="0" w:line="240" w:lineRule="auto"/>
        <w:ind w:left="426" w:right="678"/>
        <w:rPr>
          <w:rFonts w:ascii="Aptos" w:hAnsi="Aptos" w:cs="Calibri"/>
          <w:b/>
          <w:sz w:val="36"/>
          <w:szCs w:val="36"/>
          <w:lang w:val="en-GB"/>
        </w:rPr>
      </w:pPr>
    </w:p>
    <w:p w14:paraId="64CA1BD5" w14:textId="01BF1030" w:rsidR="00A75AE2" w:rsidRPr="000A1ACA" w:rsidRDefault="00FA40D2" w:rsidP="005E7423">
      <w:pPr>
        <w:tabs>
          <w:tab w:val="left" w:pos="0"/>
        </w:tabs>
        <w:spacing w:after="0" w:line="240" w:lineRule="auto"/>
        <w:ind w:left="426" w:right="678" w:firstLine="6"/>
        <w:jc w:val="center"/>
        <w:rPr>
          <w:rFonts w:ascii="Aptos" w:hAnsi="Aptos"/>
          <w:b/>
          <w:bCs/>
          <w:color w:val="C00000"/>
          <w:sz w:val="36"/>
          <w:szCs w:val="36"/>
          <w:lang w:val="en-GB" w:eastAsia="fr-CH"/>
        </w:rPr>
      </w:pPr>
      <w:r w:rsidRPr="000A1ACA">
        <w:rPr>
          <w:rFonts w:ascii="Aptos" w:hAnsi="Aptos" w:cs="Calibri"/>
          <w:b/>
          <w:sz w:val="52"/>
          <w:szCs w:val="52"/>
          <w:lang w:val="en-GB"/>
        </w:rPr>
        <w:t xml:space="preserve">  </w:t>
      </w:r>
    </w:p>
    <w:p w14:paraId="232F33DC" w14:textId="77777777" w:rsidR="00730CE4" w:rsidRPr="000A1ACA" w:rsidRDefault="00730CE4" w:rsidP="005E7423">
      <w:pPr>
        <w:spacing w:after="0" w:line="240" w:lineRule="auto"/>
        <w:ind w:left="426" w:right="423"/>
        <w:jc w:val="center"/>
        <w:rPr>
          <w:rFonts w:ascii="Aptos" w:hAnsi="Aptos" w:cstheme="minorHAnsi"/>
          <w:b/>
          <w:bCs/>
          <w:sz w:val="32"/>
          <w:szCs w:val="32"/>
          <w:lang w:val="en-GB"/>
        </w:rPr>
      </w:pPr>
    </w:p>
    <w:p w14:paraId="3981424F" w14:textId="77777777" w:rsidR="004E6BD7" w:rsidRPr="000A1ACA" w:rsidRDefault="004E6BD7" w:rsidP="005E7423">
      <w:pPr>
        <w:spacing w:after="0" w:line="240" w:lineRule="auto"/>
        <w:ind w:left="426" w:right="423"/>
        <w:jc w:val="center"/>
        <w:rPr>
          <w:rFonts w:ascii="Aptos" w:hAnsi="Aptos" w:cstheme="minorHAnsi"/>
          <w:b/>
          <w:bCs/>
          <w:sz w:val="28"/>
          <w:szCs w:val="28"/>
          <w:lang w:val="en-GB"/>
        </w:rPr>
      </w:pPr>
    </w:p>
    <w:p w14:paraId="6C87C34C" w14:textId="77777777" w:rsidR="004E6BD7" w:rsidRPr="000A1ACA" w:rsidRDefault="004E6BD7" w:rsidP="005E7423">
      <w:pPr>
        <w:spacing w:after="0" w:line="240" w:lineRule="auto"/>
        <w:ind w:left="426" w:right="423"/>
        <w:jc w:val="center"/>
        <w:rPr>
          <w:rFonts w:ascii="Aptos" w:hAnsi="Aptos" w:cstheme="minorHAnsi"/>
          <w:b/>
          <w:bCs/>
          <w:sz w:val="28"/>
          <w:szCs w:val="28"/>
          <w:lang w:val="en-GB"/>
        </w:rPr>
      </w:pPr>
    </w:p>
    <w:p w14:paraId="43CD7834" w14:textId="77777777" w:rsidR="004E6BD7" w:rsidRPr="000A1ACA" w:rsidRDefault="004E6BD7" w:rsidP="005E7423">
      <w:pPr>
        <w:spacing w:after="0" w:line="240" w:lineRule="auto"/>
        <w:ind w:left="426" w:right="423"/>
        <w:jc w:val="center"/>
        <w:rPr>
          <w:rFonts w:ascii="Aptos" w:hAnsi="Aptos" w:cstheme="minorHAnsi"/>
          <w:b/>
          <w:bCs/>
          <w:sz w:val="28"/>
          <w:szCs w:val="28"/>
          <w:lang w:val="en-GB"/>
        </w:rPr>
      </w:pPr>
    </w:p>
    <w:p w14:paraId="773C4B7E" w14:textId="77777777" w:rsidR="004E6BD7" w:rsidRPr="000A1ACA" w:rsidRDefault="004E6BD7" w:rsidP="005E7423">
      <w:pPr>
        <w:spacing w:after="0" w:line="240" w:lineRule="auto"/>
        <w:ind w:left="426" w:right="423"/>
        <w:jc w:val="center"/>
        <w:rPr>
          <w:rFonts w:ascii="Aptos" w:hAnsi="Aptos" w:cstheme="minorHAnsi"/>
          <w:b/>
          <w:bCs/>
          <w:sz w:val="28"/>
          <w:szCs w:val="28"/>
          <w:lang w:val="en-GB"/>
        </w:rPr>
      </w:pPr>
    </w:p>
    <w:p w14:paraId="016DC31F" w14:textId="36A14E65" w:rsidR="00A30AFD" w:rsidRPr="000A1ACA" w:rsidRDefault="00A30AFD" w:rsidP="004E6BD7">
      <w:pPr>
        <w:spacing w:after="0" w:line="240" w:lineRule="auto"/>
        <w:ind w:left="426" w:right="423"/>
        <w:jc w:val="center"/>
        <w:rPr>
          <w:rFonts w:ascii="Aptos" w:hAnsi="Aptos" w:cstheme="minorHAnsi"/>
          <w:b/>
          <w:bCs/>
          <w:sz w:val="44"/>
          <w:szCs w:val="44"/>
          <w:lang w:val="en-GB"/>
        </w:rPr>
      </w:pPr>
      <w:r w:rsidRPr="000A1ACA">
        <w:rPr>
          <w:rFonts w:ascii="Aptos" w:hAnsi="Aptos" w:cstheme="minorHAnsi"/>
          <w:b/>
          <w:bCs/>
          <w:sz w:val="44"/>
          <w:szCs w:val="44"/>
          <w:lang w:val="en-GB"/>
        </w:rPr>
        <w:t>The</w:t>
      </w:r>
      <w:r w:rsidR="00260FC8" w:rsidRPr="000A1ACA">
        <w:rPr>
          <w:rFonts w:ascii="Aptos" w:hAnsi="Aptos" w:cstheme="minorHAnsi"/>
          <w:b/>
          <w:bCs/>
          <w:sz w:val="44"/>
          <w:szCs w:val="44"/>
          <w:lang w:val="en-GB"/>
        </w:rPr>
        <w:t xml:space="preserve"> </w:t>
      </w:r>
      <w:r w:rsidRPr="000A1ACA">
        <w:rPr>
          <w:rFonts w:ascii="Aptos" w:hAnsi="Aptos" w:cstheme="minorHAnsi"/>
          <w:b/>
          <w:bCs/>
          <w:sz w:val="44"/>
          <w:szCs w:val="44"/>
          <w:lang w:val="en-GB"/>
        </w:rPr>
        <w:t>Role of Judicial Actors in</w:t>
      </w:r>
      <w:r w:rsidR="00260FC8" w:rsidRPr="000A1ACA">
        <w:rPr>
          <w:rFonts w:ascii="Aptos" w:hAnsi="Aptos" w:cstheme="minorHAnsi"/>
          <w:b/>
          <w:bCs/>
          <w:sz w:val="44"/>
          <w:szCs w:val="44"/>
          <w:lang w:val="en-GB"/>
        </w:rPr>
        <w:t xml:space="preserve"> </w:t>
      </w:r>
      <w:r w:rsidRPr="000A1ACA">
        <w:rPr>
          <w:rFonts w:ascii="Aptos" w:hAnsi="Aptos" w:cstheme="minorHAnsi"/>
          <w:b/>
          <w:bCs/>
          <w:sz w:val="44"/>
          <w:szCs w:val="44"/>
          <w:lang w:val="en-GB"/>
        </w:rPr>
        <w:t>Shaping Private International Law:</w:t>
      </w:r>
      <w:r w:rsidR="004E6BD7" w:rsidRPr="000A1ACA">
        <w:rPr>
          <w:rFonts w:ascii="Aptos" w:hAnsi="Aptos" w:cstheme="minorHAnsi"/>
          <w:b/>
          <w:bCs/>
          <w:sz w:val="44"/>
          <w:szCs w:val="44"/>
          <w:lang w:val="en-GB"/>
        </w:rPr>
        <w:t xml:space="preserve"> </w:t>
      </w:r>
      <w:r w:rsidRPr="000A1ACA">
        <w:rPr>
          <w:rFonts w:ascii="Aptos" w:hAnsi="Aptos" w:cstheme="minorHAnsi"/>
          <w:b/>
          <w:bCs/>
          <w:sz w:val="44"/>
          <w:szCs w:val="44"/>
          <w:lang w:val="en-GB"/>
        </w:rPr>
        <w:t>A Comparative Perspective</w:t>
      </w:r>
    </w:p>
    <w:p w14:paraId="177C16C6" w14:textId="0634AF22" w:rsidR="000970E5" w:rsidRPr="000A1ACA" w:rsidRDefault="00A30AFD" w:rsidP="004E6BD7">
      <w:pPr>
        <w:spacing w:before="120" w:after="0" w:line="240" w:lineRule="auto"/>
        <w:ind w:left="425" w:right="680"/>
        <w:jc w:val="center"/>
        <w:rPr>
          <w:rFonts w:ascii="Aptos" w:hAnsi="Aptos" w:cstheme="minorHAnsi"/>
          <w:sz w:val="32"/>
          <w:szCs w:val="32"/>
          <w:lang w:val="en-GB"/>
        </w:rPr>
      </w:pPr>
      <w:r w:rsidRPr="000A1ACA">
        <w:rPr>
          <w:rFonts w:ascii="Aptos" w:hAnsi="Aptos" w:cstheme="minorHAnsi"/>
          <w:sz w:val="32"/>
          <w:szCs w:val="32"/>
          <w:lang w:val="en-GB"/>
        </w:rPr>
        <w:t>35</w:t>
      </w:r>
      <w:r w:rsidRPr="000A1ACA">
        <w:rPr>
          <w:rFonts w:ascii="Aptos" w:hAnsi="Aptos" w:cstheme="minorHAnsi"/>
          <w:sz w:val="32"/>
          <w:szCs w:val="32"/>
          <w:vertAlign w:val="superscript"/>
          <w:lang w:val="en-GB"/>
        </w:rPr>
        <w:t>th</w:t>
      </w:r>
      <w:r w:rsidRPr="000A1ACA">
        <w:rPr>
          <w:rFonts w:ascii="Aptos" w:hAnsi="Aptos" w:cstheme="minorHAnsi"/>
          <w:sz w:val="32"/>
          <w:szCs w:val="32"/>
          <w:lang w:val="en-GB"/>
        </w:rPr>
        <w:t xml:space="preserve"> Day of Private International Law</w:t>
      </w:r>
      <w:r w:rsidR="00A77483" w:rsidRPr="000A1ACA">
        <w:rPr>
          <w:rFonts w:ascii="Aptos" w:hAnsi="Aptos" w:cstheme="minorHAnsi"/>
          <w:sz w:val="32"/>
          <w:szCs w:val="32"/>
          <w:lang w:val="en-GB"/>
        </w:rPr>
        <w:t xml:space="preserve"> at the SICL</w:t>
      </w:r>
      <w:r w:rsidRPr="000A1ACA">
        <w:rPr>
          <w:rFonts w:ascii="Aptos" w:hAnsi="Aptos" w:cstheme="minorHAnsi"/>
          <w:sz w:val="32"/>
          <w:szCs w:val="32"/>
          <w:lang w:val="en-GB"/>
        </w:rPr>
        <w:t xml:space="preserve"> </w:t>
      </w:r>
    </w:p>
    <w:p w14:paraId="797341A0" w14:textId="77777777" w:rsidR="00A77483" w:rsidRPr="000A1ACA" w:rsidRDefault="00A77483" w:rsidP="004E6BD7">
      <w:pPr>
        <w:spacing w:before="120" w:after="0" w:line="240" w:lineRule="auto"/>
        <w:ind w:left="425" w:right="680"/>
        <w:rPr>
          <w:rFonts w:ascii="Aptos" w:hAnsi="Aptos" w:cs="Calibri Light"/>
          <w:sz w:val="36"/>
          <w:szCs w:val="36"/>
          <w:lang w:val="en-GB"/>
        </w:rPr>
      </w:pPr>
    </w:p>
    <w:p w14:paraId="7F323BED" w14:textId="77777777" w:rsidR="004E6BD7" w:rsidRPr="000A1ACA" w:rsidRDefault="004E6BD7" w:rsidP="005E7423">
      <w:pPr>
        <w:spacing w:after="0" w:line="240" w:lineRule="auto"/>
        <w:ind w:left="426" w:right="678"/>
        <w:rPr>
          <w:rFonts w:ascii="Aptos" w:hAnsi="Aptos" w:cs="Calibri Light"/>
          <w:sz w:val="36"/>
          <w:szCs w:val="36"/>
          <w:lang w:val="en-GB"/>
        </w:rPr>
      </w:pPr>
    </w:p>
    <w:p w14:paraId="32BE90D5" w14:textId="77777777" w:rsidR="004E6BD7" w:rsidRPr="000A1ACA" w:rsidRDefault="004E6BD7" w:rsidP="005E7423">
      <w:pPr>
        <w:spacing w:after="0" w:line="240" w:lineRule="auto"/>
        <w:ind w:left="426" w:right="678"/>
        <w:rPr>
          <w:rFonts w:ascii="Aptos" w:hAnsi="Aptos" w:cs="Calibri Light"/>
          <w:sz w:val="36"/>
          <w:szCs w:val="36"/>
          <w:lang w:val="en-GB"/>
        </w:rPr>
      </w:pPr>
    </w:p>
    <w:p w14:paraId="063F2014" w14:textId="77777777" w:rsidR="004E6BD7" w:rsidRPr="000A1ACA" w:rsidRDefault="004E6BD7" w:rsidP="005E7423">
      <w:pPr>
        <w:spacing w:after="0" w:line="240" w:lineRule="auto"/>
        <w:ind w:left="426" w:right="678"/>
        <w:rPr>
          <w:rFonts w:ascii="Aptos" w:hAnsi="Aptos" w:cs="Calibri Light"/>
          <w:sz w:val="36"/>
          <w:szCs w:val="36"/>
          <w:lang w:val="en-GB"/>
        </w:rPr>
      </w:pPr>
    </w:p>
    <w:p w14:paraId="7DECB8F0" w14:textId="587BD3C9" w:rsidR="003A674A" w:rsidRPr="000A1ACA" w:rsidRDefault="003A674A" w:rsidP="004E6BD7">
      <w:pPr>
        <w:spacing w:after="0" w:line="340" w:lineRule="exact"/>
        <w:ind w:left="426" w:right="567"/>
        <w:jc w:val="center"/>
        <w:rPr>
          <w:rFonts w:ascii="Aptos" w:hAnsi="Aptos" w:cs="Calibri"/>
          <w:b/>
          <w:bCs/>
          <w:color w:val="C00000"/>
          <w:sz w:val="24"/>
          <w:szCs w:val="24"/>
          <w:lang w:val="en-GB"/>
        </w:rPr>
      </w:pPr>
      <w:bookmarkStart w:id="0" w:name="_Hlk183026634"/>
      <w:r w:rsidRPr="000A1ACA">
        <w:rPr>
          <w:rFonts w:ascii="Aptos" w:hAnsi="Aptos" w:cs="Calibri"/>
          <w:b/>
          <w:bCs/>
          <w:color w:val="C00000"/>
          <w:sz w:val="24"/>
          <w:szCs w:val="24"/>
          <w:lang w:val="en-GB"/>
        </w:rPr>
        <w:t>Wednesday, 19 November 2025</w:t>
      </w:r>
    </w:p>
    <w:p w14:paraId="7D7FDD40" w14:textId="77777777" w:rsidR="003A674A" w:rsidRPr="000A1ACA" w:rsidRDefault="003A674A" w:rsidP="005E7423">
      <w:pPr>
        <w:spacing w:after="0" w:line="240" w:lineRule="auto"/>
        <w:ind w:left="426" w:right="678"/>
        <w:rPr>
          <w:rFonts w:ascii="Aptos" w:hAnsi="Aptos" w:cs="Calibri"/>
          <w:color w:val="EE0000"/>
          <w:sz w:val="24"/>
          <w:szCs w:val="24"/>
          <w:lang w:val="en-GB"/>
        </w:rPr>
      </w:pPr>
    </w:p>
    <w:p w14:paraId="2D57C913" w14:textId="54E137B7" w:rsidR="003A674A" w:rsidRPr="000A1ACA" w:rsidRDefault="003A674A" w:rsidP="005E7423">
      <w:pPr>
        <w:spacing w:before="120" w:after="0" w:line="240" w:lineRule="auto"/>
        <w:ind w:left="426" w:right="680" w:hanging="11"/>
        <w:rPr>
          <w:rFonts w:ascii="Aptos" w:hAnsi="Aptos" w:cs="Calibri"/>
          <w:lang w:val="en-GB"/>
        </w:rPr>
      </w:pPr>
      <w:r w:rsidRPr="000A1ACA">
        <w:rPr>
          <w:rFonts w:ascii="Aptos" w:eastAsia="Times New Roman" w:hAnsi="Aptos" w:cs="Calibri"/>
          <w:b/>
          <w:lang w:val="en-GB"/>
        </w:rPr>
        <w:t>17:30</w:t>
      </w:r>
      <w:r w:rsidRPr="000A1ACA">
        <w:rPr>
          <w:rFonts w:ascii="Aptos" w:eastAsia="Times New Roman" w:hAnsi="Aptos" w:cs="Calibri"/>
          <w:lang w:val="en-GB"/>
        </w:rPr>
        <w:t xml:space="preserve">    </w:t>
      </w:r>
      <w:r w:rsidR="000970E5" w:rsidRPr="000A1ACA">
        <w:rPr>
          <w:rFonts w:ascii="Aptos" w:eastAsia="Times New Roman" w:hAnsi="Aptos" w:cs="Calibri"/>
          <w:lang w:val="en-GB"/>
        </w:rPr>
        <w:tab/>
      </w:r>
      <w:r w:rsidR="00FD4496" w:rsidRPr="000A1ACA">
        <w:rPr>
          <w:rFonts w:ascii="Aptos" w:eastAsia="Times New Roman" w:hAnsi="Aptos" w:cs="Calibri"/>
          <w:lang w:val="en-GB"/>
        </w:rPr>
        <w:tab/>
      </w:r>
      <w:r w:rsidRPr="000A1ACA">
        <w:rPr>
          <w:rFonts w:ascii="Aptos" w:eastAsia="Times New Roman" w:hAnsi="Aptos" w:cs="Calibri"/>
          <w:lang w:val="en-GB"/>
        </w:rPr>
        <w:t xml:space="preserve">Arrival and Registration </w:t>
      </w:r>
    </w:p>
    <w:p w14:paraId="6ED78E35" w14:textId="672BD159" w:rsidR="003A674A" w:rsidRPr="000A1ACA" w:rsidRDefault="003A674A" w:rsidP="005E7423">
      <w:pPr>
        <w:spacing w:before="120" w:after="0" w:line="240" w:lineRule="auto"/>
        <w:ind w:left="426" w:right="680" w:hanging="11"/>
        <w:rPr>
          <w:rFonts w:ascii="Aptos" w:eastAsia="Times New Roman" w:hAnsi="Aptos" w:cs="Calibri"/>
          <w:lang w:val="en-GB"/>
        </w:rPr>
      </w:pPr>
      <w:r w:rsidRPr="000A1ACA">
        <w:rPr>
          <w:rFonts w:ascii="Aptos" w:eastAsia="Times New Roman" w:hAnsi="Aptos" w:cs="Calibri"/>
          <w:b/>
          <w:lang w:val="en-GB"/>
        </w:rPr>
        <w:t>18:00</w:t>
      </w:r>
      <w:r w:rsidRPr="000A1ACA">
        <w:rPr>
          <w:rFonts w:ascii="Aptos" w:eastAsia="Times New Roman" w:hAnsi="Aptos" w:cs="Calibri"/>
          <w:lang w:val="en-GB"/>
        </w:rPr>
        <w:t xml:space="preserve">    </w:t>
      </w:r>
      <w:r w:rsidR="000970E5" w:rsidRPr="000A1ACA">
        <w:rPr>
          <w:rFonts w:ascii="Aptos" w:eastAsia="Times New Roman" w:hAnsi="Aptos" w:cs="Calibri"/>
          <w:lang w:val="en-GB"/>
        </w:rPr>
        <w:tab/>
      </w:r>
      <w:r w:rsidR="00FD4496" w:rsidRPr="000A1ACA">
        <w:rPr>
          <w:rFonts w:ascii="Aptos" w:eastAsia="Times New Roman" w:hAnsi="Aptos" w:cs="Calibri"/>
          <w:lang w:val="en-GB"/>
        </w:rPr>
        <w:tab/>
      </w:r>
      <w:r w:rsidRPr="000A1ACA">
        <w:rPr>
          <w:rFonts w:ascii="Aptos" w:eastAsia="Times New Roman" w:hAnsi="Aptos" w:cs="Calibri"/>
          <w:b/>
          <w:lang w:val="en-GB"/>
        </w:rPr>
        <w:t>Nadjma YASSARI</w:t>
      </w:r>
      <w:r w:rsidR="003D0D26" w:rsidRPr="000A1ACA">
        <w:rPr>
          <w:rFonts w:ascii="Aptos" w:eastAsia="Times New Roman" w:hAnsi="Aptos" w:cs="Calibri"/>
          <w:b/>
          <w:lang w:val="en-GB"/>
        </w:rPr>
        <w:t xml:space="preserve"> </w:t>
      </w:r>
      <w:r w:rsidR="003D0D26" w:rsidRPr="000A1ACA">
        <w:rPr>
          <w:rFonts w:ascii="Aptos" w:eastAsia="Times New Roman" w:hAnsi="Aptos" w:cs="Calibri"/>
          <w:lang w:val="en-GB"/>
        </w:rPr>
        <w:t>and</w:t>
      </w:r>
      <w:r w:rsidR="003D0D26" w:rsidRPr="000A1ACA">
        <w:rPr>
          <w:rFonts w:ascii="Aptos" w:eastAsia="Times New Roman" w:hAnsi="Aptos" w:cs="Calibri"/>
          <w:b/>
          <w:lang w:val="en-GB"/>
        </w:rPr>
        <w:t xml:space="preserve"> </w:t>
      </w:r>
      <w:r w:rsidRPr="000A1ACA">
        <w:rPr>
          <w:rFonts w:ascii="Aptos" w:eastAsia="Times New Roman" w:hAnsi="Aptos" w:cs="Calibri"/>
          <w:b/>
          <w:lang w:val="en-GB"/>
        </w:rPr>
        <w:t>Ilaria PRETELLI</w:t>
      </w:r>
      <w:r w:rsidRPr="000A1ACA">
        <w:rPr>
          <w:rFonts w:ascii="Aptos" w:eastAsia="Times New Roman" w:hAnsi="Aptos" w:cs="Calibri"/>
          <w:lang w:val="en-GB"/>
        </w:rPr>
        <w:t xml:space="preserve"> </w:t>
      </w:r>
      <w:r w:rsidR="00F530F0" w:rsidRPr="000A1ACA">
        <w:rPr>
          <w:rFonts w:ascii="Aptos" w:eastAsia="Times New Roman" w:hAnsi="Aptos" w:cs="Calibri"/>
          <w:lang w:val="en-GB"/>
        </w:rPr>
        <w:br/>
      </w:r>
      <w:r w:rsidR="005A3D34" w:rsidRPr="000A1ACA">
        <w:rPr>
          <w:rFonts w:ascii="Aptos" w:eastAsia="Times New Roman" w:hAnsi="Aptos" w:cs="Calibri"/>
          <w:lang w:val="en-GB"/>
        </w:rPr>
        <w:t xml:space="preserve">        </w:t>
      </w:r>
      <w:r w:rsidR="005A3D34" w:rsidRPr="000A1ACA">
        <w:rPr>
          <w:rFonts w:ascii="Aptos" w:eastAsia="Times New Roman" w:hAnsi="Aptos" w:cs="Calibri"/>
          <w:lang w:val="en-GB"/>
        </w:rPr>
        <w:tab/>
      </w:r>
      <w:r w:rsidR="005A3D34" w:rsidRPr="000A1ACA">
        <w:rPr>
          <w:rFonts w:ascii="Aptos" w:eastAsia="Times New Roman" w:hAnsi="Aptos" w:cs="Calibri"/>
          <w:lang w:val="en-GB"/>
        </w:rPr>
        <w:tab/>
        <w:t>Welcome Address</w:t>
      </w:r>
    </w:p>
    <w:p w14:paraId="4EBA709A" w14:textId="35B7101B" w:rsidR="005650CB" w:rsidRPr="000A1ACA" w:rsidRDefault="003A674A" w:rsidP="005E7423">
      <w:pPr>
        <w:spacing w:before="120" w:after="0" w:line="240" w:lineRule="auto"/>
        <w:ind w:left="426" w:right="680" w:hanging="11"/>
        <w:rPr>
          <w:rFonts w:ascii="Aptos" w:eastAsia="Times New Roman" w:hAnsi="Aptos" w:cs="Calibri"/>
          <w:lang w:val="en-GB"/>
        </w:rPr>
      </w:pPr>
      <w:r w:rsidRPr="000A1ACA">
        <w:rPr>
          <w:rFonts w:ascii="Aptos" w:eastAsia="Times New Roman" w:hAnsi="Aptos" w:cs="Calibri"/>
          <w:b/>
          <w:lang w:val="en-GB"/>
        </w:rPr>
        <w:t>18:30</w:t>
      </w:r>
      <w:r w:rsidRPr="000A1ACA">
        <w:rPr>
          <w:rFonts w:ascii="Aptos" w:eastAsia="Times New Roman" w:hAnsi="Aptos" w:cs="Calibri"/>
          <w:lang w:val="en-GB"/>
        </w:rPr>
        <w:t xml:space="preserve">    </w:t>
      </w:r>
      <w:r w:rsidR="00FD4496" w:rsidRPr="000A1ACA">
        <w:rPr>
          <w:rFonts w:ascii="Aptos" w:eastAsia="Times New Roman" w:hAnsi="Aptos" w:cs="Calibri"/>
          <w:lang w:val="en-GB"/>
        </w:rPr>
        <w:tab/>
      </w:r>
      <w:r w:rsidR="005A3D34" w:rsidRPr="000A1ACA">
        <w:rPr>
          <w:rFonts w:ascii="Aptos" w:eastAsia="Times New Roman" w:hAnsi="Aptos" w:cs="Calibri"/>
          <w:lang w:val="en-GB"/>
        </w:rPr>
        <w:tab/>
      </w:r>
      <w:r w:rsidRPr="000A1ACA">
        <w:rPr>
          <w:rFonts w:ascii="Aptos" w:eastAsia="Times New Roman" w:hAnsi="Aptos" w:cs="Calibri"/>
          <w:b/>
          <w:lang w:val="en-GB"/>
        </w:rPr>
        <w:t>Frank KLINKHAMMER</w:t>
      </w:r>
      <w:r w:rsidRPr="000A1ACA">
        <w:rPr>
          <w:rFonts w:ascii="Aptos" w:eastAsia="Times New Roman" w:hAnsi="Aptos" w:cs="Calibri"/>
          <w:lang w:val="en-GB"/>
        </w:rPr>
        <w:t xml:space="preserve">  </w:t>
      </w:r>
      <w:r w:rsidR="005A3D34" w:rsidRPr="000A1ACA">
        <w:rPr>
          <w:rFonts w:ascii="Aptos" w:eastAsia="Times New Roman" w:hAnsi="Aptos" w:cs="Calibri"/>
          <w:lang w:val="en-GB"/>
        </w:rPr>
        <w:br/>
        <w:t xml:space="preserve">                                </w:t>
      </w:r>
      <w:r w:rsidR="005E7423" w:rsidRPr="000A1ACA">
        <w:rPr>
          <w:rFonts w:ascii="Aptos" w:eastAsia="Times New Roman" w:hAnsi="Aptos" w:cs="Calibri"/>
          <w:lang w:val="en-GB"/>
        </w:rPr>
        <w:tab/>
      </w:r>
      <w:r w:rsidR="005A3D34" w:rsidRPr="000A1ACA">
        <w:rPr>
          <w:rFonts w:ascii="Aptos" w:eastAsia="Times New Roman" w:hAnsi="Aptos" w:cs="Calibri"/>
          <w:lang w:val="en-GB"/>
        </w:rPr>
        <w:t>Keynote</w:t>
      </w:r>
    </w:p>
    <w:p w14:paraId="28AC4167" w14:textId="20F6FBBB" w:rsidR="00F530F0" w:rsidRPr="000A1ACA" w:rsidRDefault="005650CB" w:rsidP="005E7423">
      <w:pPr>
        <w:spacing w:before="120" w:after="0" w:line="240" w:lineRule="auto"/>
        <w:ind w:left="426" w:right="680" w:hanging="11"/>
        <w:rPr>
          <w:rFonts w:ascii="Aptos" w:hAnsi="Aptos" w:cs="Calibri"/>
          <w:b/>
          <w:bCs/>
          <w:color w:val="767171" w:themeColor="background2" w:themeShade="80"/>
          <w:lang w:val="en-GB"/>
        </w:rPr>
      </w:pPr>
      <w:r w:rsidRPr="000A1ACA">
        <w:rPr>
          <w:rFonts w:ascii="Aptos" w:eastAsia="Times New Roman" w:hAnsi="Aptos" w:cs="Calibri"/>
          <w:b/>
          <w:bCs/>
          <w:color w:val="767171" w:themeColor="background2" w:themeShade="80"/>
          <w:lang w:val="en-GB"/>
        </w:rPr>
        <w:t>19:30</w:t>
      </w:r>
      <w:r w:rsidRPr="000A1ACA">
        <w:rPr>
          <w:rFonts w:ascii="Aptos" w:eastAsia="Times New Roman" w:hAnsi="Aptos" w:cs="Calibri"/>
          <w:b/>
          <w:bCs/>
          <w:color w:val="767171" w:themeColor="background2" w:themeShade="80"/>
          <w:lang w:val="en-GB"/>
        </w:rPr>
        <w:tab/>
      </w:r>
      <w:r w:rsidR="003D1282" w:rsidRPr="000A1ACA">
        <w:rPr>
          <w:rFonts w:ascii="Aptos" w:eastAsia="Times New Roman" w:hAnsi="Aptos" w:cs="Calibri"/>
          <w:b/>
          <w:bCs/>
          <w:color w:val="767171" w:themeColor="background2" w:themeShade="80"/>
          <w:lang w:val="en-GB"/>
        </w:rPr>
        <w:t xml:space="preserve">                </w:t>
      </w:r>
      <w:r w:rsidRPr="000A1ACA">
        <w:rPr>
          <w:rFonts w:ascii="Aptos" w:eastAsia="Times New Roman" w:hAnsi="Aptos" w:cs="Calibri"/>
          <w:b/>
          <w:bCs/>
          <w:color w:val="767171" w:themeColor="background2" w:themeShade="80"/>
          <w:lang w:val="en-GB"/>
        </w:rPr>
        <w:t>End of the first day</w:t>
      </w:r>
    </w:p>
    <w:p w14:paraId="1344F81E" w14:textId="77777777" w:rsidR="00F530F0" w:rsidRPr="000A1ACA" w:rsidRDefault="00F530F0" w:rsidP="005E7423">
      <w:pPr>
        <w:spacing w:after="0" w:line="240" w:lineRule="auto"/>
        <w:ind w:left="426" w:right="678" w:hanging="10"/>
        <w:rPr>
          <w:rFonts w:ascii="Aptos" w:hAnsi="Aptos" w:cs="Calibri"/>
          <w:sz w:val="24"/>
          <w:szCs w:val="24"/>
          <w:lang w:val="en-GB"/>
        </w:rPr>
      </w:pPr>
    </w:p>
    <w:bookmarkEnd w:id="0"/>
    <w:p w14:paraId="62765D1C" w14:textId="77777777" w:rsidR="004E6BD7" w:rsidRPr="000A1ACA" w:rsidRDefault="004E6BD7">
      <w:pPr>
        <w:spacing w:after="0" w:line="240" w:lineRule="auto"/>
        <w:rPr>
          <w:rFonts w:ascii="Aptos" w:eastAsia="Cambria" w:hAnsi="Aptos" w:cs="Calibri"/>
          <w:b/>
          <w:color w:val="C00000"/>
          <w:sz w:val="24"/>
          <w:szCs w:val="24"/>
          <w:lang w:val="en-GB"/>
        </w:rPr>
      </w:pPr>
      <w:r w:rsidRPr="000A1ACA">
        <w:rPr>
          <w:rFonts w:ascii="Aptos" w:hAnsi="Aptos" w:cs="Calibri"/>
          <w:color w:val="C00000"/>
          <w:sz w:val="24"/>
          <w:lang w:val="en-GB"/>
        </w:rPr>
        <w:br w:type="page"/>
      </w:r>
    </w:p>
    <w:p w14:paraId="55DE638C" w14:textId="14A03DFA" w:rsidR="003A674A" w:rsidRPr="000A1ACA" w:rsidRDefault="003A674A" w:rsidP="005E7423">
      <w:pPr>
        <w:pStyle w:val="Titre1"/>
        <w:ind w:left="426" w:right="678"/>
        <w:rPr>
          <w:rFonts w:ascii="Aptos" w:hAnsi="Aptos" w:cs="Calibri"/>
          <w:b w:val="0"/>
          <w:color w:val="C00000"/>
          <w:sz w:val="24"/>
          <w:lang w:val="en-GB"/>
        </w:rPr>
      </w:pPr>
      <w:r w:rsidRPr="000A1ACA">
        <w:rPr>
          <w:rFonts w:ascii="Aptos" w:hAnsi="Aptos" w:cs="Calibri"/>
          <w:color w:val="C00000"/>
          <w:sz w:val="24"/>
          <w:lang w:val="en-GB"/>
        </w:rPr>
        <w:lastRenderedPageBreak/>
        <w:t>Thursday, 20 November 2025</w:t>
      </w:r>
      <w:r w:rsidRPr="000A1ACA">
        <w:rPr>
          <w:rFonts w:ascii="Aptos" w:hAnsi="Aptos" w:cs="Calibri"/>
          <w:b w:val="0"/>
          <w:color w:val="C00000"/>
          <w:sz w:val="24"/>
          <w:lang w:val="en-GB"/>
        </w:rPr>
        <w:t xml:space="preserve"> </w:t>
      </w:r>
    </w:p>
    <w:p w14:paraId="4F9DCDDF" w14:textId="77777777" w:rsidR="003A674A" w:rsidRPr="000A1ACA" w:rsidRDefault="003A674A" w:rsidP="005E7423">
      <w:pPr>
        <w:spacing w:after="0" w:line="240" w:lineRule="auto"/>
        <w:ind w:left="426" w:right="678"/>
        <w:rPr>
          <w:rFonts w:ascii="Aptos" w:hAnsi="Aptos" w:cs="Calibri"/>
          <w:color w:val="EE0000"/>
          <w:sz w:val="24"/>
          <w:szCs w:val="24"/>
          <w:lang w:val="en-GB"/>
        </w:rPr>
      </w:pPr>
      <w:r w:rsidRPr="000A1ACA">
        <w:rPr>
          <w:rFonts w:ascii="Aptos" w:eastAsia="Times New Roman" w:hAnsi="Aptos" w:cs="Calibri"/>
          <w:b/>
          <w:color w:val="EE0000"/>
          <w:sz w:val="24"/>
          <w:szCs w:val="24"/>
          <w:lang w:val="en-GB"/>
        </w:rPr>
        <w:t xml:space="preserve"> </w:t>
      </w:r>
    </w:p>
    <w:p w14:paraId="73EFBFF2" w14:textId="5011D1C4" w:rsidR="003A674A" w:rsidRPr="000A1ACA" w:rsidRDefault="003A674A" w:rsidP="005E7423">
      <w:pPr>
        <w:pStyle w:val="Titre2"/>
        <w:spacing w:before="0" w:line="240" w:lineRule="auto"/>
        <w:ind w:left="426" w:right="678"/>
        <w:rPr>
          <w:rFonts w:ascii="Aptos" w:hAnsi="Aptos" w:cs="Calibri"/>
          <w:color w:val="C00000"/>
          <w:sz w:val="22"/>
          <w:szCs w:val="22"/>
          <w:lang w:val="en-GB"/>
        </w:rPr>
      </w:pPr>
      <w:r w:rsidRPr="000A1ACA">
        <w:rPr>
          <w:rFonts w:ascii="Aptos" w:hAnsi="Aptos" w:cs="Calibri"/>
          <w:b/>
          <w:bCs/>
          <w:color w:val="C00000"/>
          <w:sz w:val="22"/>
          <w:szCs w:val="22"/>
          <w:lang w:val="en-GB"/>
        </w:rPr>
        <w:t>09:00</w:t>
      </w:r>
      <w:r w:rsidR="00A45EAC" w:rsidRPr="000A1ACA">
        <w:rPr>
          <w:rFonts w:ascii="Aptos" w:hAnsi="Aptos" w:cs="Calibri"/>
          <w:b/>
          <w:bCs/>
          <w:color w:val="C00000"/>
          <w:sz w:val="22"/>
          <w:szCs w:val="22"/>
          <w:lang w:val="en-GB"/>
        </w:rPr>
        <w:t xml:space="preserve"> </w:t>
      </w:r>
      <w:r w:rsidR="005A3D34" w:rsidRPr="000A1ACA">
        <w:rPr>
          <w:rFonts w:ascii="Aptos" w:hAnsi="Aptos" w:cs="Calibri"/>
          <w:b/>
          <w:bCs/>
          <w:color w:val="C00000"/>
          <w:sz w:val="22"/>
          <w:szCs w:val="22"/>
          <w:lang w:val="en-GB"/>
        </w:rPr>
        <w:t>–</w:t>
      </w:r>
      <w:r w:rsidR="00A45EAC" w:rsidRPr="000A1ACA">
        <w:rPr>
          <w:rFonts w:ascii="Aptos" w:hAnsi="Aptos" w:cs="Calibri"/>
          <w:b/>
          <w:bCs/>
          <w:color w:val="C00000"/>
          <w:sz w:val="22"/>
          <w:szCs w:val="22"/>
          <w:lang w:val="en-GB"/>
        </w:rPr>
        <w:t xml:space="preserve"> </w:t>
      </w:r>
      <w:r w:rsidRPr="000A1ACA">
        <w:rPr>
          <w:rFonts w:ascii="Aptos" w:hAnsi="Aptos" w:cs="Calibri"/>
          <w:b/>
          <w:bCs/>
          <w:color w:val="C00000"/>
          <w:sz w:val="22"/>
          <w:szCs w:val="22"/>
          <w:lang w:val="en-GB"/>
        </w:rPr>
        <w:t>1</w:t>
      </w:r>
      <w:r w:rsidR="005A3D34" w:rsidRPr="000A1ACA">
        <w:rPr>
          <w:rFonts w:ascii="Aptos" w:hAnsi="Aptos" w:cs="Calibri"/>
          <w:b/>
          <w:bCs/>
          <w:color w:val="C00000"/>
          <w:sz w:val="22"/>
          <w:szCs w:val="22"/>
          <w:lang w:val="en-GB"/>
        </w:rPr>
        <w:t>1</w:t>
      </w:r>
      <w:r w:rsidRPr="000A1ACA">
        <w:rPr>
          <w:rFonts w:ascii="Aptos" w:hAnsi="Aptos" w:cs="Calibri"/>
          <w:b/>
          <w:bCs/>
          <w:color w:val="C00000"/>
          <w:sz w:val="22"/>
          <w:szCs w:val="22"/>
          <w:lang w:val="en-GB"/>
        </w:rPr>
        <w:t>:</w:t>
      </w:r>
      <w:r w:rsidR="005A3D34" w:rsidRPr="000A1ACA">
        <w:rPr>
          <w:rFonts w:ascii="Aptos" w:hAnsi="Aptos" w:cs="Calibri"/>
          <w:b/>
          <w:bCs/>
          <w:color w:val="C00000"/>
          <w:sz w:val="22"/>
          <w:szCs w:val="22"/>
          <w:lang w:val="en-GB"/>
        </w:rPr>
        <w:t>0</w:t>
      </w:r>
      <w:r w:rsidRPr="000A1ACA">
        <w:rPr>
          <w:rFonts w:ascii="Aptos" w:hAnsi="Aptos" w:cs="Calibri"/>
          <w:b/>
          <w:bCs/>
          <w:color w:val="C00000"/>
          <w:sz w:val="22"/>
          <w:szCs w:val="22"/>
          <w:lang w:val="en-GB"/>
        </w:rPr>
        <w:t>0</w:t>
      </w:r>
      <w:r w:rsidRPr="000A1ACA">
        <w:rPr>
          <w:rFonts w:ascii="Aptos" w:hAnsi="Aptos" w:cs="Calibri"/>
          <w:color w:val="C00000"/>
          <w:sz w:val="22"/>
          <w:szCs w:val="22"/>
          <w:lang w:val="en-GB"/>
        </w:rPr>
        <w:t xml:space="preserve"> </w:t>
      </w:r>
      <w:r w:rsidR="00FD4496" w:rsidRPr="000A1ACA">
        <w:rPr>
          <w:rFonts w:ascii="Aptos" w:hAnsi="Aptos" w:cs="Calibri"/>
          <w:color w:val="C00000"/>
          <w:sz w:val="22"/>
          <w:szCs w:val="22"/>
          <w:lang w:val="en-GB"/>
        </w:rPr>
        <w:tab/>
      </w:r>
      <w:r w:rsidR="0019556D" w:rsidRPr="000A1ACA">
        <w:rPr>
          <w:rFonts w:ascii="Aptos" w:hAnsi="Aptos" w:cs="Calibri"/>
          <w:b/>
          <w:bCs/>
          <w:color w:val="C00000"/>
          <w:sz w:val="22"/>
          <w:szCs w:val="22"/>
          <w:lang w:val="en-GB"/>
        </w:rPr>
        <w:t xml:space="preserve">Private International Law in Supranational </w:t>
      </w:r>
      <w:r w:rsidR="003C26A3" w:rsidRPr="000A1ACA">
        <w:rPr>
          <w:rFonts w:ascii="Aptos" w:hAnsi="Aptos" w:cs="Calibri"/>
          <w:b/>
          <w:bCs/>
          <w:color w:val="C00000"/>
          <w:sz w:val="22"/>
          <w:szCs w:val="22"/>
          <w:lang w:val="en-GB"/>
        </w:rPr>
        <w:t xml:space="preserve">Settings </w:t>
      </w:r>
    </w:p>
    <w:p w14:paraId="1EC89815" w14:textId="2289FC84" w:rsidR="0019556D" w:rsidRPr="000A1ACA" w:rsidRDefault="0019556D" w:rsidP="005E7423">
      <w:pPr>
        <w:spacing w:after="120" w:line="240" w:lineRule="auto"/>
        <w:ind w:left="1416" w:right="680" w:firstLine="708"/>
        <w:rPr>
          <w:rFonts w:ascii="Aptos" w:hAnsi="Aptos" w:cs="Calibri"/>
          <w:lang w:val="en-US"/>
        </w:rPr>
      </w:pPr>
      <w:r w:rsidRPr="000A1ACA">
        <w:rPr>
          <w:rFonts w:ascii="Aptos" w:eastAsia="Times New Roman" w:hAnsi="Aptos" w:cs="Calibri"/>
          <w:b/>
          <w:lang w:val="en-US"/>
        </w:rPr>
        <w:t>Chair: Lukas HECKENDORN URSCHELER</w:t>
      </w:r>
    </w:p>
    <w:p w14:paraId="77D0F2AE" w14:textId="22A928B3" w:rsidR="0019556D" w:rsidRPr="000A1ACA" w:rsidRDefault="005A3D34" w:rsidP="005E7423">
      <w:pPr>
        <w:spacing w:after="120" w:line="240" w:lineRule="auto"/>
        <w:ind w:left="2124" w:right="680"/>
        <w:rPr>
          <w:rFonts w:ascii="Aptos" w:eastAsia="Times New Roman" w:hAnsi="Aptos" w:cs="Calibri"/>
          <w:i/>
          <w:lang w:val="en-GB"/>
        </w:rPr>
      </w:pPr>
      <w:r w:rsidRPr="000A1ACA">
        <w:rPr>
          <w:rFonts w:ascii="Aptos" w:eastAsia="Times New Roman" w:hAnsi="Aptos" w:cs="Calibri"/>
          <w:b/>
          <w:lang w:val="en-US"/>
        </w:rPr>
        <w:t>Henrik SAUGMANDSGAARD</w:t>
      </w:r>
      <w:r w:rsidRPr="000A1ACA">
        <w:rPr>
          <w:rFonts w:ascii="Aptos" w:eastAsia="Times New Roman" w:hAnsi="Aptos" w:cs="Calibri"/>
          <w:lang w:val="en-US"/>
        </w:rPr>
        <w:t xml:space="preserve"> </w:t>
      </w:r>
      <w:r w:rsidRPr="000A1ACA">
        <w:rPr>
          <w:rFonts w:ascii="Aptos" w:eastAsia="Times New Roman" w:hAnsi="Aptos" w:cs="Calibri"/>
          <w:b/>
          <w:lang w:val="en-US"/>
        </w:rPr>
        <w:t>ØE</w:t>
      </w:r>
      <w:r w:rsidR="003D0D26" w:rsidRPr="000A1ACA">
        <w:rPr>
          <w:rFonts w:ascii="Aptos" w:eastAsia="Times New Roman" w:hAnsi="Aptos" w:cs="Calibri"/>
          <w:i/>
          <w:lang w:val="en-GB"/>
        </w:rPr>
        <w:br/>
      </w:r>
      <w:r w:rsidR="0019556D" w:rsidRPr="000A1ACA">
        <w:rPr>
          <w:rFonts w:ascii="Aptos" w:eastAsia="Times New Roman" w:hAnsi="Aptos" w:cs="Calibri"/>
          <w:i/>
          <w:lang w:val="en-GB"/>
        </w:rPr>
        <w:t>The interpretation of Private International Law by the Court of Justice of the European Union, illustrated in recent judgments</w:t>
      </w:r>
    </w:p>
    <w:p w14:paraId="3470CE82" w14:textId="4E8B1F36" w:rsidR="0019556D" w:rsidRPr="000A1ACA" w:rsidRDefault="005A3D34" w:rsidP="005E7423">
      <w:pPr>
        <w:spacing w:after="120" w:line="240" w:lineRule="auto"/>
        <w:ind w:left="2124" w:right="680"/>
        <w:rPr>
          <w:rFonts w:ascii="Aptos" w:hAnsi="Aptos" w:cs="Calibri"/>
          <w:lang w:val="en-GB"/>
        </w:rPr>
      </w:pPr>
      <w:r w:rsidRPr="000A1ACA">
        <w:rPr>
          <w:rFonts w:ascii="Aptos" w:eastAsia="Times New Roman" w:hAnsi="Aptos" w:cs="Calibri"/>
          <w:b/>
          <w:lang w:val="en-GB"/>
        </w:rPr>
        <w:t xml:space="preserve">Valesca R. B. MOSCHEN </w:t>
      </w:r>
      <w:r w:rsidRPr="000A1ACA">
        <w:rPr>
          <w:rFonts w:ascii="Aptos" w:eastAsia="Times New Roman" w:hAnsi="Aptos" w:cs="Calibri"/>
          <w:lang w:val="en-GB"/>
        </w:rPr>
        <w:t>and</w:t>
      </w:r>
      <w:r w:rsidRPr="000A1ACA">
        <w:rPr>
          <w:rFonts w:ascii="Aptos" w:eastAsia="Times New Roman" w:hAnsi="Aptos" w:cs="Calibri"/>
          <w:b/>
          <w:lang w:val="en-GB"/>
        </w:rPr>
        <w:t xml:space="preserve"> Isabela T. C. DONDONE</w:t>
      </w:r>
      <w:r w:rsidR="003D0D26" w:rsidRPr="000A1ACA">
        <w:rPr>
          <w:rFonts w:ascii="Aptos" w:eastAsia="Times New Roman" w:hAnsi="Aptos" w:cs="Calibri"/>
          <w:i/>
          <w:lang w:val="en-GB"/>
        </w:rPr>
        <w:br/>
      </w:r>
      <w:r w:rsidR="0019556D" w:rsidRPr="000A1ACA">
        <w:rPr>
          <w:rFonts w:ascii="Aptos" w:eastAsia="Times New Roman" w:hAnsi="Aptos" w:cs="Calibri"/>
          <w:i/>
          <w:lang w:val="en-GB"/>
        </w:rPr>
        <w:t>Conferences on Private International Law of the Organization of American States – CIDIPs: 50 years and their relevance in the Brazilian Legal System</w:t>
      </w:r>
    </w:p>
    <w:p w14:paraId="20B8F7BF" w14:textId="4A393FB2" w:rsidR="005A3D34" w:rsidRPr="000A1ACA" w:rsidRDefault="0019556D" w:rsidP="005E7423">
      <w:pPr>
        <w:spacing w:after="120" w:line="240" w:lineRule="auto"/>
        <w:ind w:left="2124" w:right="678"/>
        <w:rPr>
          <w:rFonts w:ascii="Aptos" w:hAnsi="Aptos" w:cs="Calibri"/>
          <w:lang w:val="en-GB"/>
        </w:rPr>
      </w:pPr>
      <w:r w:rsidRPr="000A1ACA">
        <w:rPr>
          <w:rFonts w:ascii="Aptos" w:eastAsia="Times New Roman" w:hAnsi="Aptos" w:cs="Calibri"/>
          <w:b/>
          <w:lang w:val="en-GB"/>
        </w:rPr>
        <w:t>Asya OSTROUKH</w:t>
      </w:r>
      <w:r w:rsidR="003D0D26" w:rsidRPr="000A1ACA">
        <w:rPr>
          <w:rFonts w:ascii="Aptos" w:eastAsia="Times New Roman" w:hAnsi="Aptos" w:cs="Calibri"/>
          <w:i/>
          <w:lang w:val="en-GB"/>
        </w:rPr>
        <w:br/>
      </w:r>
      <w:r w:rsidR="005A3D34" w:rsidRPr="000A1ACA">
        <w:rPr>
          <w:rFonts w:ascii="Aptos" w:eastAsia="Times New Roman" w:hAnsi="Aptos" w:cs="Calibri"/>
          <w:i/>
          <w:lang w:val="en-GB"/>
        </w:rPr>
        <w:t>The Role of the Caribbean Court of Justice in the Development of Private International Law in the Caribbean Region</w:t>
      </w:r>
    </w:p>
    <w:p w14:paraId="02D15CF7" w14:textId="44687A15" w:rsidR="005A3D34" w:rsidRPr="000A1ACA" w:rsidRDefault="005A3D34" w:rsidP="005E7423">
      <w:pPr>
        <w:spacing w:before="120" w:after="120" w:line="240" w:lineRule="auto"/>
        <w:ind w:left="426" w:right="680" w:hanging="11"/>
        <w:rPr>
          <w:rFonts w:ascii="Aptos" w:eastAsia="Times New Roman" w:hAnsi="Aptos" w:cs="Calibri"/>
          <w:b/>
          <w:color w:val="767171" w:themeColor="background2" w:themeShade="80"/>
          <w:lang w:val="en-GB"/>
        </w:rPr>
      </w:pPr>
      <w:r w:rsidRPr="000A1ACA">
        <w:rPr>
          <w:rFonts w:ascii="Aptos" w:eastAsia="Times New Roman" w:hAnsi="Aptos" w:cs="Calibri"/>
          <w:b/>
          <w:color w:val="767171" w:themeColor="background2" w:themeShade="80"/>
          <w:lang w:val="en-GB"/>
        </w:rPr>
        <w:t xml:space="preserve">11:00 - 11:30 </w:t>
      </w:r>
      <w:r w:rsidRPr="000A1ACA">
        <w:rPr>
          <w:rFonts w:ascii="Aptos" w:eastAsia="Times New Roman" w:hAnsi="Aptos" w:cs="Calibri"/>
          <w:b/>
          <w:color w:val="767171" w:themeColor="background2" w:themeShade="80"/>
          <w:lang w:val="en-GB"/>
        </w:rPr>
        <w:tab/>
        <w:t xml:space="preserve">Coffee Break </w:t>
      </w:r>
    </w:p>
    <w:p w14:paraId="293E46B1" w14:textId="564DD50E" w:rsidR="003A674A" w:rsidRPr="000A1ACA" w:rsidRDefault="003A674A" w:rsidP="005E7423">
      <w:pPr>
        <w:pStyle w:val="Titre2"/>
        <w:spacing w:before="0" w:line="240" w:lineRule="auto"/>
        <w:ind w:left="426" w:right="139"/>
        <w:rPr>
          <w:rFonts w:ascii="Aptos" w:hAnsi="Aptos" w:cs="Calibri"/>
          <w:b/>
          <w:bCs/>
          <w:color w:val="C00000"/>
          <w:sz w:val="22"/>
          <w:szCs w:val="22"/>
          <w:lang w:val="en-GB"/>
        </w:rPr>
      </w:pPr>
      <w:r w:rsidRPr="000A1ACA">
        <w:rPr>
          <w:rFonts w:ascii="Aptos" w:hAnsi="Aptos" w:cs="Calibri"/>
          <w:b/>
          <w:bCs/>
          <w:color w:val="C00000"/>
          <w:sz w:val="22"/>
          <w:szCs w:val="22"/>
          <w:lang w:val="en-GB"/>
        </w:rPr>
        <w:t>11:</w:t>
      </w:r>
      <w:r w:rsidR="005A3D34" w:rsidRPr="000A1ACA">
        <w:rPr>
          <w:rFonts w:ascii="Aptos" w:hAnsi="Aptos" w:cs="Calibri"/>
          <w:b/>
          <w:bCs/>
          <w:color w:val="C00000"/>
          <w:sz w:val="22"/>
          <w:szCs w:val="22"/>
          <w:lang w:val="en-GB"/>
        </w:rPr>
        <w:t>3</w:t>
      </w:r>
      <w:r w:rsidRPr="000A1ACA">
        <w:rPr>
          <w:rFonts w:ascii="Aptos" w:hAnsi="Aptos" w:cs="Calibri"/>
          <w:b/>
          <w:bCs/>
          <w:color w:val="C00000"/>
          <w:sz w:val="22"/>
          <w:szCs w:val="22"/>
          <w:lang w:val="en-GB"/>
        </w:rPr>
        <w:t>0 – 1</w:t>
      </w:r>
      <w:r w:rsidR="005A3D34" w:rsidRPr="000A1ACA">
        <w:rPr>
          <w:rFonts w:ascii="Aptos" w:hAnsi="Aptos" w:cs="Calibri"/>
          <w:b/>
          <w:bCs/>
          <w:color w:val="C00000"/>
          <w:sz w:val="22"/>
          <w:szCs w:val="22"/>
          <w:lang w:val="en-GB"/>
        </w:rPr>
        <w:t>3</w:t>
      </w:r>
      <w:r w:rsidRPr="000A1ACA">
        <w:rPr>
          <w:rFonts w:ascii="Aptos" w:hAnsi="Aptos" w:cs="Calibri"/>
          <w:b/>
          <w:bCs/>
          <w:color w:val="C00000"/>
          <w:sz w:val="22"/>
          <w:szCs w:val="22"/>
          <w:lang w:val="en-GB"/>
        </w:rPr>
        <w:t>:</w:t>
      </w:r>
      <w:r w:rsidR="005A3D34" w:rsidRPr="000A1ACA">
        <w:rPr>
          <w:rFonts w:ascii="Aptos" w:hAnsi="Aptos" w:cs="Calibri"/>
          <w:b/>
          <w:bCs/>
          <w:color w:val="C00000"/>
          <w:sz w:val="22"/>
          <w:szCs w:val="22"/>
          <w:lang w:val="en-GB"/>
        </w:rPr>
        <w:t>00</w:t>
      </w:r>
      <w:r w:rsidR="00B90BA4" w:rsidRPr="000A1ACA">
        <w:rPr>
          <w:rFonts w:ascii="Aptos" w:hAnsi="Aptos" w:cs="Calibri"/>
          <w:b/>
          <w:bCs/>
          <w:color w:val="C00000"/>
          <w:sz w:val="22"/>
          <w:szCs w:val="22"/>
          <w:lang w:val="en-GB"/>
        </w:rPr>
        <w:t xml:space="preserve">   </w:t>
      </w:r>
      <w:r w:rsidR="005E7423" w:rsidRPr="000A1ACA">
        <w:rPr>
          <w:rFonts w:ascii="Aptos" w:hAnsi="Aptos" w:cs="Calibri"/>
          <w:b/>
          <w:bCs/>
          <w:color w:val="C00000"/>
          <w:sz w:val="22"/>
          <w:szCs w:val="22"/>
          <w:lang w:val="en-GB"/>
        </w:rPr>
        <w:tab/>
      </w:r>
      <w:r w:rsidR="0019556D" w:rsidRPr="000A1ACA">
        <w:rPr>
          <w:rFonts w:ascii="Aptos" w:hAnsi="Aptos" w:cs="Calibri"/>
          <w:b/>
          <w:bCs/>
          <w:color w:val="C00000"/>
          <w:sz w:val="22"/>
          <w:szCs w:val="22"/>
          <w:lang w:val="en-GB"/>
        </w:rPr>
        <w:t>National Experiences of Judicial Innovation in Private International</w:t>
      </w:r>
      <w:r w:rsidR="00B90BA4" w:rsidRPr="000A1ACA">
        <w:rPr>
          <w:rFonts w:ascii="Aptos" w:hAnsi="Aptos" w:cs="Calibri"/>
          <w:b/>
          <w:bCs/>
          <w:color w:val="C00000"/>
          <w:sz w:val="22"/>
          <w:szCs w:val="22"/>
          <w:lang w:val="en-GB"/>
        </w:rPr>
        <w:t xml:space="preserve"> </w:t>
      </w:r>
      <w:r w:rsidR="0019556D" w:rsidRPr="000A1ACA">
        <w:rPr>
          <w:rFonts w:ascii="Aptos" w:hAnsi="Aptos" w:cs="Calibri"/>
          <w:b/>
          <w:bCs/>
          <w:color w:val="C00000"/>
          <w:sz w:val="22"/>
          <w:szCs w:val="22"/>
          <w:lang w:val="en-GB"/>
        </w:rPr>
        <w:t>Law</w:t>
      </w:r>
    </w:p>
    <w:p w14:paraId="55FEC68B" w14:textId="0D093AD0" w:rsidR="003D0D26" w:rsidRPr="000A1ACA" w:rsidRDefault="0019556D" w:rsidP="005E7423">
      <w:pPr>
        <w:spacing w:after="120" w:line="240" w:lineRule="auto"/>
        <w:ind w:left="1416" w:right="680" w:firstLine="708"/>
        <w:rPr>
          <w:rFonts w:ascii="Aptos" w:hAnsi="Aptos" w:cs="Calibri"/>
          <w:b/>
          <w:bCs/>
          <w:lang w:val="en-US"/>
        </w:rPr>
      </w:pPr>
      <w:r w:rsidRPr="000A1ACA">
        <w:rPr>
          <w:rFonts w:ascii="Aptos" w:hAnsi="Aptos" w:cs="Calibri"/>
          <w:b/>
          <w:bCs/>
          <w:lang w:val="en-US"/>
        </w:rPr>
        <w:t xml:space="preserve">Chair: Michel HEINZMANN </w:t>
      </w:r>
    </w:p>
    <w:p w14:paraId="226D043F" w14:textId="05C26B12" w:rsidR="0019556D" w:rsidRPr="000A1ACA" w:rsidRDefault="0019556D" w:rsidP="005E7423">
      <w:pPr>
        <w:spacing w:after="120" w:line="240" w:lineRule="auto"/>
        <w:ind w:left="2124" w:right="139"/>
        <w:rPr>
          <w:rFonts w:ascii="Aptos" w:hAnsi="Aptos" w:cs="Calibri"/>
          <w:lang w:val="en-GB"/>
        </w:rPr>
      </w:pPr>
      <w:r w:rsidRPr="000A1ACA">
        <w:rPr>
          <w:rFonts w:ascii="Aptos" w:eastAsia="Times New Roman" w:hAnsi="Aptos" w:cs="Calibri"/>
          <w:b/>
          <w:lang w:val="en-GB"/>
        </w:rPr>
        <w:t>Özlem BURDURLU AHLAT</w:t>
      </w:r>
      <w:r w:rsidR="00574EFA" w:rsidRPr="000A1ACA">
        <w:rPr>
          <w:rFonts w:ascii="Aptos" w:eastAsia="Times New Roman" w:hAnsi="Aptos" w:cs="Calibri"/>
          <w:b/>
          <w:lang w:val="en-GB"/>
        </w:rPr>
        <w:t xml:space="preserve"> </w:t>
      </w:r>
      <w:r w:rsidR="00574EFA" w:rsidRPr="000A1ACA">
        <w:rPr>
          <w:rFonts w:ascii="Aptos" w:eastAsia="Times New Roman" w:hAnsi="Aptos" w:cs="Calibri"/>
          <w:bCs/>
          <w:lang w:val="en-GB"/>
        </w:rPr>
        <w:t>and</w:t>
      </w:r>
      <w:r w:rsidR="00574EFA" w:rsidRPr="000A1ACA">
        <w:rPr>
          <w:rFonts w:ascii="Aptos" w:eastAsia="Times New Roman" w:hAnsi="Aptos" w:cs="Calibri"/>
          <w:b/>
          <w:lang w:val="en-GB"/>
        </w:rPr>
        <w:t xml:space="preserve"> Ezgi Fulya AKKUŞ</w:t>
      </w:r>
      <w:r w:rsidR="003D0D26" w:rsidRPr="000A1ACA">
        <w:rPr>
          <w:rFonts w:ascii="Aptos" w:eastAsia="Times New Roman" w:hAnsi="Aptos" w:cs="Calibri"/>
          <w:i/>
          <w:lang w:val="en-GB"/>
        </w:rPr>
        <w:br/>
      </w:r>
      <w:r w:rsidR="00396D5C" w:rsidRPr="000A1ACA">
        <w:rPr>
          <w:rFonts w:ascii="Aptos" w:eastAsia="Times New Roman" w:hAnsi="Aptos" w:cs="Calibri"/>
          <w:i/>
          <w:lang w:val="en-GB"/>
        </w:rPr>
        <w:t xml:space="preserve">Party Autonomy in International Employment Contracts vs. Constitutional Limits: A Twofold Criticism towards the Landmark Ruling of the Turkish Constitutional Court </w:t>
      </w:r>
    </w:p>
    <w:p w14:paraId="4B48AFBD" w14:textId="62179741" w:rsidR="0019556D" w:rsidRPr="000A1ACA" w:rsidRDefault="00396D5C" w:rsidP="005E7423">
      <w:pPr>
        <w:spacing w:after="0" w:line="240" w:lineRule="auto"/>
        <w:ind w:left="2124" w:right="678"/>
        <w:rPr>
          <w:rFonts w:ascii="Aptos" w:hAnsi="Aptos" w:cs="Calibri"/>
          <w:lang w:val="en-GB"/>
        </w:rPr>
      </w:pPr>
      <w:r w:rsidRPr="000A1ACA">
        <w:rPr>
          <w:rFonts w:ascii="Aptos" w:eastAsia="Times New Roman" w:hAnsi="Aptos" w:cs="Calibri"/>
          <w:b/>
          <w:lang w:val="en-GB"/>
        </w:rPr>
        <w:t>Aygun MAMMADZADA</w:t>
      </w:r>
      <w:r w:rsidR="00F530F0" w:rsidRPr="000A1ACA">
        <w:rPr>
          <w:rFonts w:ascii="Aptos" w:eastAsia="Times New Roman" w:hAnsi="Aptos" w:cs="Calibri"/>
          <w:b/>
          <w:lang w:val="en-GB"/>
        </w:rPr>
        <w:br/>
      </w:r>
      <w:r w:rsidR="0019556D" w:rsidRPr="000A1ACA">
        <w:rPr>
          <w:rFonts w:ascii="Aptos" w:eastAsia="Times New Roman" w:hAnsi="Aptos" w:cs="Calibri"/>
          <w:i/>
          <w:lang w:val="en-GB"/>
        </w:rPr>
        <w:t>Judicial Innovation and Property: The Role of English Courts in Reframing Private International Law in the Age of Digital Assets</w:t>
      </w:r>
      <w:r w:rsidR="0019556D" w:rsidRPr="000A1ACA">
        <w:rPr>
          <w:rFonts w:ascii="Aptos" w:eastAsia="Times New Roman" w:hAnsi="Aptos" w:cs="Calibri"/>
          <w:b/>
          <w:i/>
          <w:lang w:val="en-GB"/>
        </w:rPr>
        <w:t xml:space="preserve"> </w:t>
      </w:r>
      <w:r w:rsidR="0019556D" w:rsidRPr="000A1ACA">
        <w:rPr>
          <w:rFonts w:ascii="Aptos" w:eastAsia="Times New Roman" w:hAnsi="Aptos" w:cs="Calibri"/>
          <w:b/>
          <w:lang w:val="en-GB"/>
        </w:rPr>
        <w:t xml:space="preserve"> </w:t>
      </w:r>
    </w:p>
    <w:p w14:paraId="0998978D" w14:textId="65374C39" w:rsidR="003A674A" w:rsidRPr="000A1ACA" w:rsidRDefault="003A674A" w:rsidP="005E7423">
      <w:pPr>
        <w:spacing w:before="120" w:after="120" w:line="240" w:lineRule="auto"/>
        <w:ind w:left="426" w:right="680" w:hanging="11"/>
        <w:rPr>
          <w:rFonts w:ascii="Aptos" w:eastAsia="Times New Roman" w:hAnsi="Aptos" w:cs="Calibri"/>
          <w:color w:val="767171" w:themeColor="background2" w:themeShade="80"/>
          <w:lang w:val="en-GB"/>
        </w:rPr>
      </w:pPr>
      <w:r w:rsidRPr="000A1ACA">
        <w:rPr>
          <w:rFonts w:ascii="Aptos" w:eastAsia="Times New Roman" w:hAnsi="Aptos" w:cs="Calibri"/>
          <w:b/>
          <w:color w:val="767171" w:themeColor="background2" w:themeShade="80"/>
          <w:lang w:val="en-GB"/>
        </w:rPr>
        <w:t>1</w:t>
      </w:r>
      <w:r w:rsidR="005A3D34" w:rsidRPr="000A1ACA">
        <w:rPr>
          <w:rFonts w:ascii="Aptos" w:eastAsia="Times New Roman" w:hAnsi="Aptos" w:cs="Calibri"/>
          <w:b/>
          <w:color w:val="767171" w:themeColor="background2" w:themeShade="80"/>
          <w:lang w:val="en-GB"/>
        </w:rPr>
        <w:t>3</w:t>
      </w:r>
      <w:r w:rsidRPr="000A1ACA">
        <w:rPr>
          <w:rFonts w:ascii="Aptos" w:eastAsia="Times New Roman" w:hAnsi="Aptos" w:cs="Calibri"/>
          <w:b/>
          <w:color w:val="767171" w:themeColor="background2" w:themeShade="80"/>
          <w:lang w:val="en-GB"/>
        </w:rPr>
        <w:t>:</w:t>
      </w:r>
      <w:r w:rsidR="005A3D34" w:rsidRPr="000A1ACA">
        <w:rPr>
          <w:rFonts w:ascii="Aptos" w:eastAsia="Times New Roman" w:hAnsi="Aptos" w:cs="Calibri"/>
          <w:b/>
          <w:color w:val="767171" w:themeColor="background2" w:themeShade="80"/>
          <w:lang w:val="en-GB"/>
        </w:rPr>
        <w:t>0</w:t>
      </w:r>
      <w:r w:rsidRPr="000A1ACA">
        <w:rPr>
          <w:rFonts w:ascii="Aptos" w:eastAsia="Times New Roman" w:hAnsi="Aptos" w:cs="Calibri"/>
          <w:b/>
          <w:color w:val="767171" w:themeColor="background2" w:themeShade="80"/>
          <w:lang w:val="en-GB"/>
        </w:rPr>
        <w:t xml:space="preserve">0 – 14:00 </w:t>
      </w:r>
      <w:r w:rsidR="00FD4496" w:rsidRPr="000A1ACA">
        <w:rPr>
          <w:rFonts w:ascii="Aptos" w:eastAsia="Times New Roman" w:hAnsi="Aptos" w:cs="Calibri"/>
          <w:b/>
          <w:color w:val="767171" w:themeColor="background2" w:themeShade="80"/>
          <w:lang w:val="en-GB"/>
        </w:rPr>
        <w:tab/>
      </w:r>
      <w:r w:rsidR="00A45EAC" w:rsidRPr="000A1ACA">
        <w:rPr>
          <w:rFonts w:ascii="Aptos" w:eastAsia="Times New Roman" w:hAnsi="Aptos" w:cs="Calibri"/>
          <w:b/>
          <w:color w:val="767171" w:themeColor="background2" w:themeShade="80"/>
          <w:lang w:val="en-GB"/>
        </w:rPr>
        <w:t>Lunch</w:t>
      </w:r>
      <w:r w:rsidRPr="000A1ACA">
        <w:rPr>
          <w:rFonts w:ascii="Aptos" w:eastAsia="Times New Roman" w:hAnsi="Aptos" w:cs="Calibri"/>
          <w:color w:val="767171" w:themeColor="background2" w:themeShade="80"/>
          <w:lang w:val="en-GB"/>
        </w:rPr>
        <w:t xml:space="preserve"> </w:t>
      </w:r>
    </w:p>
    <w:p w14:paraId="3DFAA4AF" w14:textId="157411EF" w:rsidR="003A674A" w:rsidRPr="000A1ACA" w:rsidRDefault="003A674A" w:rsidP="005E7423">
      <w:pPr>
        <w:pStyle w:val="Titre2"/>
        <w:spacing w:before="0" w:line="240" w:lineRule="auto"/>
        <w:ind w:left="426" w:right="678"/>
        <w:rPr>
          <w:rFonts w:ascii="Aptos" w:hAnsi="Aptos" w:cs="Calibri"/>
          <w:b/>
          <w:bCs/>
          <w:color w:val="C00000"/>
          <w:sz w:val="22"/>
          <w:szCs w:val="22"/>
          <w:lang w:val="en-GB"/>
        </w:rPr>
      </w:pPr>
      <w:bookmarkStart w:id="1" w:name="_Hlk207875116"/>
      <w:r w:rsidRPr="000A1ACA">
        <w:rPr>
          <w:rFonts w:ascii="Aptos" w:hAnsi="Aptos" w:cs="Calibri"/>
          <w:b/>
          <w:bCs/>
          <w:color w:val="C00000"/>
          <w:sz w:val="22"/>
          <w:szCs w:val="22"/>
          <w:lang w:val="en-GB"/>
        </w:rPr>
        <w:t>14:00 – 15:30</w:t>
      </w:r>
      <w:r w:rsidR="00FD4496" w:rsidRPr="000A1ACA">
        <w:rPr>
          <w:rFonts w:ascii="Aptos" w:hAnsi="Aptos" w:cs="Calibri"/>
          <w:b/>
          <w:bCs/>
          <w:color w:val="C00000"/>
          <w:sz w:val="22"/>
          <w:szCs w:val="22"/>
          <w:lang w:val="en-GB"/>
        </w:rPr>
        <w:tab/>
      </w:r>
      <w:r w:rsidRPr="000A1ACA">
        <w:rPr>
          <w:rFonts w:ascii="Aptos" w:hAnsi="Aptos" w:cs="Calibri"/>
          <w:b/>
          <w:bCs/>
          <w:color w:val="C00000"/>
          <w:sz w:val="22"/>
          <w:szCs w:val="22"/>
          <w:lang w:val="en-GB"/>
        </w:rPr>
        <w:t xml:space="preserve">The role and engagement of legal practitioners </w:t>
      </w:r>
    </w:p>
    <w:p w14:paraId="12D6445E" w14:textId="1E99432B" w:rsidR="00A07566" w:rsidRPr="000A1ACA" w:rsidRDefault="003A674A" w:rsidP="005E7423">
      <w:pPr>
        <w:spacing w:after="120" w:line="240" w:lineRule="auto"/>
        <w:ind w:left="1416" w:right="680" w:firstLine="708"/>
        <w:rPr>
          <w:rFonts w:ascii="Aptos" w:eastAsia="Times New Roman" w:hAnsi="Aptos" w:cs="Calibri"/>
          <w:b/>
          <w:lang w:val="fr-CH"/>
        </w:rPr>
      </w:pPr>
      <w:proofErr w:type="gramStart"/>
      <w:r w:rsidRPr="000A1ACA">
        <w:rPr>
          <w:rFonts w:ascii="Aptos" w:eastAsia="Times New Roman" w:hAnsi="Aptos" w:cs="Calibri"/>
          <w:b/>
          <w:lang w:val="fr-CH"/>
        </w:rPr>
        <w:t>Chair:</w:t>
      </w:r>
      <w:proofErr w:type="gramEnd"/>
      <w:r w:rsidRPr="000A1ACA">
        <w:rPr>
          <w:rFonts w:ascii="Aptos" w:eastAsia="Times New Roman" w:hAnsi="Aptos" w:cs="Calibri"/>
          <w:b/>
          <w:lang w:val="fr-CH"/>
        </w:rPr>
        <w:t xml:space="preserve"> Franz WERRO</w:t>
      </w:r>
    </w:p>
    <w:p w14:paraId="72A100CC" w14:textId="77777777" w:rsidR="005E7423" w:rsidRPr="000A1ACA" w:rsidRDefault="003C26A3" w:rsidP="005E7423">
      <w:pPr>
        <w:spacing w:after="0" w:line="240" w:lineRule="auto"/>
        <w:ind w:left="2124" w:right="678"/>
        <w:rPr>
          <w:rFonts w:ascii="Aptos" w:eastAsia="Times New Roman" w:hAnsi="Aptos" w:cs="Calibri"/>
          <w:lang w:val="fr-CH"/>
        </w:rPr>
      </w:pPr>
      <w:r w:rsidRPr="000A1ACA">
        <w:rPr>
          <w:rFonts w:ascii="Aptos" w:eastAsia="Times New Roman" w:hAnsi="Aptos" w:cs="Calibri"/>
          <w:b/>
          <w:lang w:val="fr-CH"/>
        </w:rPr>
        <w:t xml:space="preserve">Marie-Elodie </w:t>
      </w:r>
      <w:r w:rsidR="00A07566" w:rsidRPr="000A1ACA">
        <w:rPr>
          <w:rFonts w:ascii="Aptos" w:eastAsia="Times New Roman" w:hAnsi="Aptos" w:cs="Calibri"/>
          <w:b/>
          <w:lang w:val="fr-CH"/>
        </w:rPr>
        <w:t>ANCEL</w:t>
      </w:r>
      <w:r w:rsidR="005E7423" w:rsidRPr="000A1ACA">
        <w:rPr>
          <w:rFonts w:ascii="Aptos" w:eastAsia="Times New Roman" w:hAnsi="Aptos" w:cs="Calibri"/>
          <w:lang w:val="fr-CH"/>
        </w:rPr>
        <w:br/>
      </w:r>
      <w:r w:rsidR="003A674A" w:rsidRPr="000A1ACA">
        <w:rPr>
          <w:rFonts w:ascii="Aptos" w:eastAsia="Times New Roman" w:hAnsi="Aptos" w:cs="Calibri"/>
          <w:i/>
          <w:iCs/>
          <w:lang w:val="fr-CH"/>
        </w:rPr>
        <w:t>Le Palais et la Faculté, itinéraires français du droit international privé</w:t>
      </w:r>
    </w:p>
    <w:p w14:paraId="0E00DF96" w14:textId="04D61467" w:rsidR="003A674A" w:rsidRPr="000A1ACA" w:rsidRDefault="003C26A3" w:rsidP="005E7423">
      <w:pPr>
        <w:spacing w:before="120" w:after="0" w:line="240" w:lineRule="auto"/>
        <w:ind w:left="2124" w:right="139"/>
        <w:rPr>
          <w:rFonts w:ascii="Aptos" w:hAnsi="Aptos" w:cs="Calibri"/>
          <w:lang w:val="en-GB"/>
        </w:rPr>
      </w:pPr>
      <w:r w:rsidRPr="000A1ACA">
        <w:rPr>
          <w:rFonts w:ascii="Aptos" w:eastAsia="Times New Roman" w:hAnsi="Aptos" w:cs="Calibri"/>
          <w:b/>
          <w:lang w:val="en-GB"/>
        </w:rPr>
        <w:t>Ross A</w:t>
      </w:r>
      <w:r w:rsidR="00A07566" w:rsidRPr="000A1ACA">
        <w:rPr>
          <w:rFonts w:ascii="Aptos" w:eastAsia="Times New Roman" w:hAnsi="Aptos" w:cs="Calibri"/>
          <w:b/>
          <w:lang w:val="en-GB"/>
        </w:rPr>
        <w:t>NDERSON</w:t>
      </w:r>
      <w:r w:rsidR="005E7423" w:rsidRPr="000A1ACA">
        <w:rPr>
          <w:rFonts w:ascii="Aptos" w:eastAsia="Times New Roman" w:hAnsi="Aptos" w:cs="Calibri"/>
          <w:b/>
          <w:lang w:val="en-GB"/>
        </w:rPr>
        <w:br/>
      </w:r>
      <w:r w:rsidR="003A674A" w:rsidRPr="000A1ACA">
        <w:rPr>
          <w:rFonts w:ascii="Aptos" w:eastAsia="Times New Roman" w:hAnsi="Aptos" w:cs="Calibri"/>
          <w:i/>
          <w:lang w:val="en-GB"/>
        </w:rPr>
        <w:t>Private international law in adversarial litigation: an advocate’s perspective</w:t>
      </w:r>
    </w:p>
    <w:bookmarkEnd w:id="1"/>
    <w:p w14:paraId="52967769" w14:textId="6AC3D972" w:rsidR="003A674A" w:rsidRPr="000A1ACA" w:rsidRDefault="003A674A" w:rsidP="005E7423">
      <w:pPr>
        <w:spacing w:before="120" w:after="120" w:line="240" w:lineRule="auto"/>
        <w:ind w:left="426" w:right="680" w:hanging="11"/>
        <w:rPr>
          <w:rFonts w:ascii="Aptos" w:hAnsi="Aptos" w:cs="Calibri"/>
          <w:color w:val="767171" w:themeColor="background2" w:themeShade="80"/>
          <w:lang w:val="en-GB"/>
        </w:rPr>
      </w:pPr>
      <w:r w:rsidRPr="000A1ACA">
        <w:rPr>
          <w:rFonts w:ascii="Aptos" w:eastAsia="Times New Roman" w:hAnsi="Aptos" w:cs="Calibri"/>
          <w:b/>
          <w:color w:val="767171" w:themeColor="background2" w:themeShade="80"/>
          <w:lang w:val="en-GB"/>
        </w:rPr>
        <w:t xml:space="preserve">15:30 – 16:00 </w:t>
      </w:r>
      <w:r w:rsidR="00FD4496" w:rsidRPr="000A1ACA">
        <w:rPr>
          <w:rFonts w:ascii="Aptos" w:eastAsia="Times New Roman" w:hAnsi="Aptos" w:cs="Calibri"/>
          <w:b/>
          <w:color w:val="767171" w:themeColor="background2" w:themeShade="80"/>
          <w:lang w:val="en-GB"/>
        </w:rPr>
        <w:tab/>
        <w:t>C</w:t>
      </w:r>
      <w:r w:rsidRPr="000A1ACA">
        <w:rPr>
          <w:rFonts w:ascii="Aptos" w:eastAsia="Times New Roman" w:hAnsi="Aptos" w:cs="Calibri"/>
          <w:b/>
          <w:color w:val="767171" w:themeColor="background2" w:themeShade="80"/>
          <w:lang w:val="en-GB"/>
        </w:rPr>
        <w:t>offee Break</w:t>
      </w:r>
      <w:r w:rsidRPr="000A1ACA">
        <w:rPr>
          <w:rFonts w:ascii="Aptos" w:eastAsia="Times New Roman" w:hAnsi="Aptos" w:cs="Calibri"/>
          <w:color w:val="767171" w:themeColor="background2" w:themeShade="80"/>
          <w:lang w:val="en-GB"/>
        </w:rPr>
        <w:t xml:space="preserve"> </w:t>
      </w:r>
    </w:p>
    <w:p w14:paraId="6BD06CC6" w14:textId="3A850AF3" w:rsidR="003A674A" w:rsidRPr="000A1ACA" w:rsidRDefault="003A674A" w:rsidP="005E7423">
      <w:pPr>
        <w:spacing w:after="0" w:line="240" w:lineRule="auto"/>
        <w:ind w:left="2116" w:right="678" w:hanging="1690"/>
        <w:rPr>
          <w:rFonts w:ascii="Aptos" w:hAnsi="Aptos" w:cs="Calibri"/>
          <w:b/>
          <w:bCs/>
          <w:color w:val="C00000"/>
          <w:lang w:val="en-GB"/>
        </w:rPr>
      </w:pPr>
      <w:r w:rsidRPr="000A1ACA">
        <w:rPr>
          <w:rFonts w:ascii="Aptos" w:hAnsi="Aptos" w:cs="Calibri"/>
          <w:b/>
          <w:bCs/>
          <w:color w:val="C00000"/>
          <w:lang w:val="en-GB"/>
        </w:rPr>
        <w:t>16:00 – 17:30</w:t>
      </w:r>
      <w:r w:rsidR="005E7423" w:rsidRPr="000A1ACA">
        <w:rPr>
          <w:rFonts w:ascii="Aptos" w:hAnsi="Aptos" w:cs="Calibri"/>
          <w:b/>
          <w:bCs/>
          <w:color w:val="C00000"/>
          <w:lang w:val="en-GB"/>
        </w:rPr>
        <w:t xml:space="preserve"> </w:t>
      </w:r>
      <w:r w:rsidR="005E7423" w:rsidRPr="000A1ACA">
        <w:rPr>
          <w:rFonts w:ascii="Aptos" w:hAnsi="Aptos" w:cs="Calibri"/>
          <w:b/>
          <w:bCs/>
          <w:color w:val="C00000"/>
          <w:lang w:val="en-GB"/>
        </w:rPr>
        <w:tab/>
      </w:r>
      <w:r w:rsidRPr="000A1ACA">
        <w:rPr>
          <w:rFonts w:ascii="Aptos" w:hAnsi="Aptos" w:cs="Calibri"/>
          <w:b/>
          <w:bCs/>
          <w:color w:val="C00000"/>
          <w:lang w:val="en-GB"/>
        </w:rPr>
        <w:t>SLAPP and Strategic Litigation in P</w:t>
      </w:r>
      <w:r w:rsidR="004E6BD7" w:rsidRPr="000A1ACA">
        <w:rPr>
          <w:rFonts w:ascii="Aptos" w:hAnsi="Aptos" w:cs="Calibri"/>
          <w:b/>
          <w:bCs/>
          <w:color w:val="C00000"/>
          <w:lang w:val="en-GB"/>
        </w:rPr>
        <w:t xml:space="preserve">rivate </w:t>
      </w:r>
      <w:r w:rsidR="0093012E" w:rsidRPr="000A1ACA">
        <w:rPr>
          <w:rFonts w:ascii="Aptos" w:hAnsi="Aptos" w:cs="Calibri"/>
          <w:b/>
          <w:bCs/>
          <w:color w:val="C00000"/>
          <w:lang w:val="en-GB"/>
        </w:rPr>
        <w:t>I</w:t>
      </w:r>
      <w:r w:rsidR="004E6BD7" w:rsidRPr="000A1ACA">
        <w:rPr>
          <w:rFonts w:ascii="Aptos" w:hAnsi="Aptos" w:cs="Calibri"/>
          <w:b/>
          <w:bCs/>
          <w:color w:val="C00000"/>
          <w:lang w:val="en-GB"/>
        </w:rPr>
        <w:t xml:space="preserve">nternational </w:t>
      </w:r>
      <w:r w:rsidR="0093012E" w:rsidRPr="000A1ACA">
        <w:rPr>
          <w:rFonts w:ascii="Aptos" w:hAnsi="Aptos" w:cs="Calibri"/>
          <w:b/>
          <w:bCs/>
          <w:color w:val="C00000"/>
          <w:lang w:val="en-GB"/>
        </w:rPr>
        <w:t>L</w:t>
      </w:r>
      <w:r w:rsidR="004E6BD7" w:rsidRPr="000A1ACA">
        <w:rPr>
          <w:rFonts w:ascii="Aptos" w:hAnsi="Aptos" w:cs="Calibri"/>
          <w:b/>
          <w:bCs/>
          <w:color w:val="C00000"/>
          <w:lang w:val="en-GB"/>
        </w:rPr>
        <w:t>aw</w:t>
      </w:r>
      <w:r w:rsidRPr="000A1ACA">
        <w:rPr>
          <w:rFonts w:ascii="Aptos" w:hAnsi="Aptos" w:cs="Calibri"/>
          <w:b/>
          <w:bCs/>
          <w:color w:val="C00000"/>
          <w:lang w:val="en-GB"/>
        </w:rPr>
        <w:t xml:space="preserve">: </w:t>
      </w:r>
      <w:r w:rsidR="004E6BD7" w:rsidRPr="000A1ACA">
        <w:rPr>
          <w:rFonts w:ascii="Aptos" w:hAnsi="Aptos" w:cs="Calibri"/>
          <w:b/>
          <w:bCs/>
          <w:color w:val="C00000"/>
          <w:lang w:val="en-GB"/>
        </w:rPr>
        <w:br/>
      </w:r>
      <w:r w:rsidRPr="000A1ACA">
        <w:rPr>
          <w:rFonts w:ascii="Aptos" w:hAnsi="Aptos" w:cs="Calibri"/>
          <w:b/>
          <w:bCs/>
          <w:color w:val="C00000"/>
          <w:lang w:val="en-GB"/>
        </w:rPr>
        <w:t>Courts as Gatekeepers of</w:t>
      </w:r>
      <w:r w:rsidR="004E6BD7" w:rsidRPr="000A1ACA">
        <w:rPr>
          <w:rFonts w:ascii="Aptos" w:hAnsi="Aptos" w:cs="Calibri"/>
          <w:b/>
          <w:bCs/>
          <w:color w:val="C00000"/>
          <w:lang w:val="en-GB"/>
        </w:rPr>
        <w:t xml:space="preserve"> </w:t>
      </w:r>
      <w:r w:rsidRPr="000A1ACA">
        <w:rPr>
          <w:rFonts w:ascii="Aptos" w:hAnsi="Aptos" w:cs="Calibri"/>
          <w:b/>
          <w:bCs/>
          <w:color w:val="C00000"/>
          <w:lang w:val="en-GB"/>
        </w:rPr>
        <w:t xml:space="preserve">Transnational Justice </w:t>
      </w:r>
    </w:p>
    <w:p w14:paraId="149A9FF1" w14:textId="6B848D28" w:rsidR="00F530F0" w:rsidRPr="000A1ACA" w:rsidRDefault="005E7423" w:rsidP="005E7423">
      <w:pPr>
        <w:spacing w:after="120" w:line="240" w:lineRule="auto"/>
        <w:ind w:left="426" w:right="680"/>
        <w:rPr>
          <w:rFonts w:ascii="Aptos" w:hAnsi="Aptos" w:cs="Calibri"/>
          <w:b/>
          <w:bCs/>
          <w:lang w:val="fr-CH"/>
        </w:rPr>
      </w:pPr>
      <w:r w:rsidRPr="000A1ACA">
        <w:rPr>
          <w:rFonts w:ascii="Aptos" w:hAnsi="Aptos" w:cs="Calibri"/>
          <w:b/>
          <w:bCs/>
          <w:lang w:val="en-US"/>
        </w:rPr>
        <w:tab/>
      </w:r>
      <w:r w:rsidRPr="000A1ACA">
        <w:rPr>
          <w:rFonts w:ascii="Aptos" w:hAnsi="Aptos" w:cs="Calibri"/>
          <w:b/>
          <w:bCs/>
          <w:lang w:val="en-US"/>
        </w:rPr>
        <w:tab/>
      </w:r>
      <w:r w:rsidR="00F530F0" w:rsidRPr="000A1ACA">
        <w:rPr>
          <w:rFonts w:ascii="Aptos" w:hAnsi="Aptos" w:cs="Calibri"/>
          <w:b/>
          <w:bCs/>
          <w:lang w:val="en-US"/>
        </w:rPr>
        <w:tab/>
      </w:r>
      <w:proofErr w:type="gramStart"/>
      <w:r w:rsidR="003A674A" w:rsidRPr="000A1ACA">
        <w:rPr>
          <w:rFonts w:ascii="Aptos" w:hAnsi="Aptos" w:cs="Calibri"/>
          <w:b/>
          <w:bCs/>
          <w:lang w:val="fr-CH"/>
        </w:rPr>
        <w:t>Chair:</w:t>
      </w:r>
      <w:proofErr w:type="gramEnd"/>
      <w:r w:rsidR="003A674A" w:rsidRPr="000A1ACA">
        <w:rPr>
          <w:rFonts w:ascii="Aptos" w:hAnsi="Aptos" w:cs="Calibri"/>
          <w:b/>
          <w:bCs/>
          <w:lang w:val="fr-CH"/>
        </w:rPr>
        <w:t xml:space="preserve"> Ilaria PRETELLI</w:t>
      </w:r>
      <w:r w:rsidR="00424D7B" w:rsidRPr="000A1ACA">
        <w:rPr>
          <w:rFonts w:ascii="Aptos" w:hAnsi="Aptos" w:cs="Calibri"/>
          <w:b/>
          <w:bCs/>
          <w:lang w:val="fr-CH"/>
        </w:rPr>
        <w:t xml:space="preserve"> </w:t>
      </w:r>
    </w:p>
    <w:p w14:paraId="598AFB2C" w14:textId="2F64D43E" w:rsidR="00424D7B" w:rsidRPr="000A1ACA" w:rsidRDefault="00424D7B" w:rsidP="005E7423">
      <w:pPr>
        <w:spacing w:after="120" w:line="240" w:lineRule="auto"/>
        <w:ind w:left="2124" w:right="680"/>
        <w:rPr>
          <w:rFonts w:ascii="Aptos" w:eastAsia="Times New Roman" w:hAnsi="Aptos" w:cs="Calibri"/>
          <w:lang w:val="fr-CH"/>
        </w:rPr>
      </w:pPr>
      <w:proofErr w:type="spellStart"/>
      <w:r w:rsidRPr="000A1ACA">
        <w:rPr>
          <w:rFonts w:ascii="Aptos" w:hAnsi="Aptos" w:cs="Calibri"/>
          <w:b/>
          <w:bCs/>
          <w:lang w:val="fr-CH"/>
        </w:rPr>
        <w:t>Harrith</w:t>
      </w:r>
      <w:proofErr w:type="spellEnd"/>
      <w:r w:rsidRPr="000A1ACA">
        <w:rPr>
          <w:rFonts w:ascii="Aptos" w:hAnsi="Aptos" w:cs="Calibri"/>
          <w:b/>
          <w:bCs/>
          <w:lang w:val="fr-CH"/>
        </w:rPr>
        <w:t xml:space="preserve"> AL-DABBAGH </w:t>
      </w:r>
      <w:r w:rsidR="00F530F0" w:rsidRPr="000A1ACA">
        <w:rPr>
          <w:rFonts w:ascii="Aptos" w:eastAsia="Times New Roman" w:hAnsi="Aptos" w:cs="Calibri"/>
          <w:i/>
          <w:iCs/>
          <w:lang w:val="fr-CH"/>
        </w:rPr>
        <w:br/>
      </w:r>
      <w:r w:rsidRPr="000A1ACA">
        <w:rPr>
          <w:rFonts w:ascii="Aptos" w:eastAsia="Times New Roman" w:hAnsi="Aptos" w:cs="Calibri"/>
          <w:i/>
          <w:iCs/>
          <w:lang w:val="fr-CH"/>
        </w:rPr>
        <w:t xml:space="preserve">La GPA transnationale dans l'ordre juridique québécois : La jurisprudence </w:t>
      </w:r>
      <w:r w:rsidR="00194802" w:rsidRPr="000A1ACA">
        <w:rPr>
          <w:rFonts w:ascii="Aptos" w:eastAsia="Times New Roman" w:hAnsi="Aptos" w:cs="Calibri"/>
          <w:i/>
          <w:iCs/>
          <w:lang w:val="fr-CH"/>
        </w:rPr>
        <w:t>combattue</w:t>
      </w:r>
      <w:r w:rsidRPr="000A1ACA">
        <w:rPr>
          <w:rFonts w:ascii="Aptos" w:eastAsia="Times New Roman" w:hAnsi="Aptos" w:cs="Calibri"/>
          <w:i/>
          <w:iCs/>
          <w:lang w:val="fr-CH"/>
        </w:rPr>
        <w:t xml:space="preserve"> par la loi </w:t>
      </w:r>
    </w:p>
    <w:p w14:paraId="57B2AD13" w14:textId="79CB08E4" w:rsidR="00F530F0" w:rsidRPr="000A1ACA" w:rsidRDefault="003A674A" w:rsidP="005E7423">
      <w:pPr>
        <w:spacing w:after="0" w:line="240" w:lineRule="auto"/>
        <w:ind w:left="2124" w:right="139"/>
        <w:rPr>
          <w:rFonts w:ascii="Aptos" w:hAnsi="Aptos" w:cs="Calibri"/>
          <w:lang w:val="en-GB"/>
        </w:rPr>
      </w:pPr>
      <w:r w:rsidRPr="000A1ACA">
        <w:rPr>
          <w:rFonts w:ascii="Aptos" w:eastAsia="Times New Roman" w:hAnsi="Aptos" w:cs="Calibri"/>
          <w:b/>
          <w:lang w:val="en-GB"/>
        </w:rPr>
        <w:t>Caterina D’</w:t>
      </w:r>
      <w:r w:rsidR="00A07566" w:rsidRPr="000A1ACA">
        <w:rPr>
          <w:rFonts w:ascii="Aptos" w:eastAsia="Times New Roman" w:hAnsi="Aptos" w:cs="Calibri"/>
          <w:b/>
          <w:lang w:val="en-GB"/>
        </w:rPr>
        <w:t>OSUALDO</w:t>
      </w:r>
      <w:r w:rsidR="00F530F0" w:rsidRPr="000A1ACA">
        <w:rPr>
          <w:rFonts w:ascii="Aptos" w:eastAsia="Times New Roman" w:hAnsi="Aptos" w:cs="Calibri"/>
          <w:i/>
          <w:lang w:val="en-GB"/>
        </w:rPr>
        <w:br/>
      </w:r>
      <w:r w:rsidR="00424D7B" w:rsidRPr="000A1ACA">
        <w:rPr>
          <w:rFonts w:ascii="Aptos" w:eastAsia="Times New Roman" w:hAnsi="Aptos" w:cs="Calibri"/>
          <w:i/>
          <w:lang w:val="en-GB"/>
        </w:rPr>
        <w:t>The EU Anti-SLAPP Directive: Scope, Challenges, and Judicial Implications</w:t>
      </w:r>
      <w:r w:rsidR="00424D7B" w:rsidRPr="000A1ACA">
        <w:rPr>
          <w:rFonts w:ascii="Aptos" w:eastAsia="Times New Roman" w:hAnsi="Aptos" w:cs="Calibri"/>
          <w:lang w:val="en-GB"/>
        </w:rPr>
        <w:t xml:space="preserve">  </w:t>
      </w:r>
    </w:p>
    <w:p w14:paraId="3B5D4736" w14:textId="19E1A19F" w:rsidR="0019556D" w:rsidRPr="000A1ACA" w:rsidRDefault="00424D7B" w:rsidP="005E7423">
      <w:pPr>
        <w:spacing w:after="120" w:line="240" w:lineRule="auto"/>
        <w:ind w:left="2124" w:right="139"/>
        <w:rPr>
          <w:rFonts w:ascii="Aptos" w:hAnsi="Aptos" w:cs="Calibri"/>
          <w:lang w:val="en-GB"/>
        </w:rPr>
      </w:pPr>
      <w:r w:rsidRPr="000A1ACA">
        <w:rPr>
          <w:rFonts w:ascii="Aptos" w:eastAsia="Times New Roman" w:hAnsi="Aptos" w:cs="Calibri"/>
          <w:lang w:val="en-GB"/>
        </w:rPr>
        <w:t xml:space="preserve"> </w:t>
      </w:r>
    </w:p>
    <w:p w14:paraId="6998686F" w14:textId="2689AD00" w:rsidR="003A674A" w:rsidRPr="000A1ACA" w:rsidRDefault="003A674A" w:rsidP="005E7423">
      <w:pPr>
        <w:spacing w:after="0" w:line="240" w:lineRule="auto"/>
        <w:ind w:left="426" w:right="678"/>
        <w:rPr>
          <w:rFonts w:ascii="Aptos" w:eastAsia="Times New Roman" w:hAnsi="Aptos" w:cs="Calibri"/>
          <w:b/>
          <w:color w:val="767171" w:themeColor="background2" w:themeShade="80"/>
          <w:lang w:val="en-GB"/>
        </w:rPr>
      </w:pPr>
      <w:r w:rsidRPr="000A1ACA">
        <w:rPr>
          <w:rFonts w:ascii="Aptos" w:eastAsia="Times New Roman" w:hAnsi="Aptos" w:cs="Calibri"/>
          <w:b/>
          <w:color w:val="767171" w:themeColor="background2" w:themeShade="80"/>
          <w:lang w:val="en-GB"/>
        </w:rPr>
        <w:t>17:30</w:t>
      </w:r>
      <w:r w:rsidR="00FD4496" w:rsidRPr="000A1ACA">
        <w:rPr>
          <w:rFonts w:ascii="Aptos" w:eastAsia="Times New Roman" w:hAnsi="Aptos" w:cs="Calibri"/>
          <w:b/>
          <w:color w:val="767171" w:themeColor="background2" w:themeShade="80"/>
          <w:lang w:val="en-GB"/>
        </w:rPr>
        <w:tab/>
      </w:r>
      <w:r w:rsidR="00FD4496" w:rsidRPr="000A1ACA">
        <w:rPr>
          <w:rFonts w:ascii="Aptos" w:eastAsia="Times New Roman" w:hAnsi="Aptos" w:cs="Calibri"/>
          <w:b/>
          <w:color w:val="767171" w:themeColor="background2" w:themeShade="80"/>
          <w:lang w:val="en-GB"/>
        </w:rPr>
        <w:tab/>
      </w:r>
      <w:r w:rsidRPr="000A1ACA">
        <w:rPr>
          <w:rFonts w:ascii="Aptos" w:eastAsia="Times New Roman" w:hAnsi="Aptos" w:cs="Calibri"/>
          <w:b/>
          <w:color w:val="767171" w:themeColor="background2" w:themeShade="80"/>
          <w:lang w:val="en-GB"/>
        </w:rPr>
        <w:t xml:space="preserve">End of the Conference  </w:t>
      </w:r>
    </w:p>
    <w:p w14:paraId="4AD4EACD" w14:textId="77777777" w:rsidR="00600A64" w:rsidRPr="000A1ACA" w:rsidRDefault="00600A64" w:rsidP="005E7423">
      <w:pPr>
        <w:spacing w:after="0" w:line="240" w:lineRule="auto"/>
        <w:ind w:left="426" w:right="678"/>
        <w:rPr>
          <w:rFonts w:ascii="Aptos" w:hAnsi="Aptos" w:cs="Calibri"/>
          <w:color w:val="767171" w:themeColor="background2" w:themeShade="80"/>
          <w:lang w:val="en-GB"/>
        </w:rPr>
      </w:pPr>
    </w:p>
    <w:p w14:paraId="1677EC67" w14:textId="0CBA0523" w:rsidR="00A50479" w:rsidRPr="000A1ACA" w:rsidRDefault="003A674A" w:rsidP="005E7423">
      <w:pPr>
        <w:spacing w:after="0" w:line="240" w:lineRule="auto"/>
        <w:ind w:left="426" w:right="678"/>
        <w:rPr>
          <w:rFonts w:ascii="Aptos" w:eastAsia="Times New Roman" w:hAnsi="Aptos" w:cs="Calibri"/>
          <w:b/>
          <w:lang w:val="en-GB"/>
        </w:rPr>
      </w:pPr>
      <w:r w:rsidRPr="000A1ACA">
        <w:rPr>
          <w:rFonts w:ascii="Aptos" w:eastAsia="Times New Roman" w:hAnsi="Aptos" w:cs="Calibri"/>
          <w:b/>
          <w:lang w:val="en-GB"/>
        </w:rPr>
        <w:t xml:space="preserve"> </w:t>
      </w:r>
    </w:p>
    <w:p w14:paraId="4FD63759" w14:textId="77777777" w:rsidR="00284BDB" w:rsidRPr="000A1ACA" w:rsidRDefault="00284BDB">
      <w:pPr>
        <w:spacing w:after="0" w:line="240" w:lineRule="auto"/>
        <w:rPr>
          <w:rFonts w:ascii="Aptos" w:hAnsi="Aptos" w:cs="Calibri"/>
          <w:b/>
          <w:bCs/>
          <w:color w:val="C00000"/>
          <w:sz w:val="24"/>
          <w:szCs w:val="24"/>
          <w:lang w:val="en-GB"/>
        </w:rPr>
      </w:pPr>
      <w:r w:rsidRPr="000A1ACA">
        <w:rPr>
          <w:rFonts w:ascii="Aptos" w:hAnsi="Aptos" w:cs="Calibri"/>
          <w:b/>
          <w:bCs/>
          <w:color w:val="C00000"/>
          <w:sz w:val="24"/>
          <w:szCs w:val="24"/>
          <w:lang w:val="en-GB"/>
        </w:rPr>
        <w:br w:type="page"/>
      </w:r>
    </w:p>
    <w:p w14:paraId="30B6C9E1" w14:textId="77777777" w:rsidR="000A1ACA" w:rsidRPr="000A1ACA" w:rsidRDefault="000A1ACA" w:rsidP="000A1ACA">
      <w:pPr>
        <w:spacing w:after="120" w:line="240" w:lineRule="auto"/>
        <w:ind w:left="426" w:right="567"/>
        <w:rPr>
          <w:rFonts w:ascii="Aptos" w:hAnsi="Aptos" w:cs="Calibri"/>
          <w:b/>
          <w:bCs/>
          <w:color w:val="C00000"/>
          <w:sz w:val="24"/>
          <w:szCs w:val="24"/>
          <w:lang w:val="en-GB"/>
        </w:rPr>
      </w:pPr>
      <w:r w:rsidRPr="000A1ACA">
        <w:rPr>
          <w:rFonts w:ascii="Aptos" w:hAnsi="Aptos" w:cs="Calibri"/>
          <w:b/>
          <w:bCs/>
          <w:color w:val="C00000"/>
          <w:sz w:val="24"/>
          <w:szCs w:val="24"/>
          <w:lang w:val="en-GB"/>
        </w:rPr>
        <w:lastRenderedPageBreak/>
        <w:t>Speakers and Chairs</w:t>
      </w:r>
    </w:p>
    <w:p w14:paraId="6F6B935A" w14:textId="77777777" w:rsidR="000A1ACA" w:rsidRPr="000A1ACA" w:rsidRDefault="000A1ACA" w:rsidP="000A1ACA">
      <w:pPr>
        <w:spacing w:after="0" w:line="340" w:lineRule="exact"/>
        <w:ind w:right="567" w:firstLine="426"/>
        <w:rPr>
          <w:rFonts w:ascii="Aptos" w:eastAsia="Times New Roman" w:hAnsi="Aptos" w:cs="Calibri"/>
          <w:lang w:val="en-US"/>
        </w:rPr>
      </w:pPr>
      <w:r w:rsidRPr="000A1ACA">
        <w:rPr>
          <w:rFonts w:ascii="Aptos" w:eastAsia="Times New Roman" w:hAnsi="Aptos" w:cs="Calibri"/>
          <w:b/>
          <w:lang w:val="en-GB"/>
        </w:rPr>
        <w:t>Ezgi Fulya AKKUŞ</w:t>
      </w:r>
      <w:r w:rsidRPr="000A1ACA">
        <w:rPr>
          <w:rFonts w:ascii="Aptos" w:eastAsia="Times New Roman" w:hAnsi="Aptos" w:cs="Calibri"/>
          <w:lang w:val="en-GB"/>
        </w:rPr>
        <w:t xml:space="preserve">, </w:t>
      </w:r>
      <w:proofErr w:type="spellStart"/>
      <w:r w:rsidRPr="000A1ACA">
        <w:rPr>
          <w:rFonts w:ascii="Aptos" w:eastAsia="Times New Roman" w:hAnsi="Aptos" w:cs="Calibri"/>
          <w:lang w:val="en-GB"/>
        </w:rPr>
        <w:t>Afyon</w:t>
      </w:r>
      <w:proofErr w:type="spellEnd"/>
      <w:r w:rsidRPr="000A1ACA">
        <w:rPr>
          <w:rFonts w:ascii="Aptos" w:eastAsia="Times New Roman" w:hAnsi="Aptos" w:cs="Calibri"/>
          <w:lang w:val="en-GB"/>
        </w:rPr>
        <w:t xml:space="preserve"> </w:t>
      </w:r>
      <w:proofErr w:type="spellStart"/>
      <w:r w:rsidRPr="000A1ACA">
        <w:rPr>
          <w:rFonts w:ascii="Aptos" w:eastAsia="Times New Roman" w:hAnsi="Aptos" w:cs="Calibri"/>
          <w:lang w:val="en-GB"/>
        </w:rPr>
        <w:t>Kocatepe</w:t>
      </w:r>
      <w:proofErr w:type="spellEnd"/>
      <w:r w:rsidRPr="000A1ACA">
        <w:rPr>
          <w:rFonts w:ascii="Aptos" w:eastAsia="Times New Roman" w:hAnsi="Aptos" w:cs="Calibri"/>
          <w:lang w:val="en-GB"/>
        </w:rPr>
        <w:t xml:space="preserve"> University, Turkey</w:t>
      </w:r>
    </w:p>
    <w:p w14:paraId="0D00E300" w14:textId="77777777" w:rsidR="000A1ACA" w:rsidRPr="000A1ACA" w:rsidRDefault="000A1ACA" w:rsidP="000A1ACA">
      <w:pPr>
        <w:spacing w:after="0" w:line="340" w:lineRule="exact"/>
        <w:ind w:left="426" w:right="567"/>
        <w:rPr>
          <w:rFonts w:ascii="Aptos" w:eastAsia="Times New Roman" w:hAnsi="Aptos" w:cs="Calibri"/>
          <w:lang w:val="en-GB"/>
        </w:rPr>
      </w:pPr>
      <w:proofErr w:type="spellStart"/>
      <w:r w:rsidRPr="000A1ACA">
        <w:rPr>
          <w:rFonts w:ascii="Aptos" w:eastAsia="Times New Roman" w:hAnsi="Aptos" w:cs="Calibri"/>
          <w:b/>
          <w:lang w:val="en-GB"/>
        </w:rPr>
        <w:t>Harrith</w:t>
      </w:r>
      <w:proofErr w:type="spellEnd"/>
      <w:r w:rsidRPr="000A1ACA">
        <w:rPr>
          <w:rFonts w:ascii="Aptos" w:eastAsia="Times New Roman" w:hAnsi="Aptos" w:cs="Calibri"/>
          <w:b/>
          <w:lang w:val="en-GB"/>
        </w:rPr>
        <w:t xml:space="preserve"> AL-DABBAGH</w:t>
      </w:r>
      <w:r w:rsidRPr="000A1ACA">
        <w:rPr>
          <w:rFonts w:ascii="Aptos" w:eastAsia="Times New Roman" w:hAnsi="Aptos" w:cs="Calibri"/>
          <w:lang w:val="en-GB"/>
        </w:rPr>
        <w:t xml:space="preserve">, University of Montreal, Quebec </w:t>
      </w:r>
    </w:p>
    <w:p w14:paraId="761141DA" w14:textId="77777777" w:rsidR="000A1ACA" w:rsidRPr="000A1ACA" w:rsidRDefault="000A1ACA" w:rsidP="000A1ACA">
      <w:pPr>
        <w:spacing w:after="0" w:line="340" w:lineRule="exact"/>
        <w:ind w:left="426" w:right="567"/>
        <w:rPr>
          <w:rFonts w:ascii="Aptos" w:hAnsi="Aptos" w:cs="Calibri"/>
          <w:lang w:val="fr-CH"/>
        </w:rPr>
      </w:pPr>
      <w:r w:rsidRPr="000A1ACA">
        <w:rPr>
          <w:rFonts w:ascii="Aptos" w:eastAsia="Times New Roman" w:hAnsi="Aptos" w:cs="Calibri"/>
          <w:b/>
          <w:lang w:val="fr-CH"/>
        </w:rPr>
        <w:t>Marie-Elodie ANCEL</w:t>
      </w:r>
      <w:r w:rsidRPr="000A1ACA">
        <w:rPr>
          <w:rFonts w:ascii="Aptos" w:eastAsia="Times New Roman" w:hAnsi="Aptos" w:cs="Calibri"/>
          <w:bCs/>
          <w:lang w:val="fr-CH"/>
        </w:rPr>
        <w:t>,</w:t>
      </w:r>
      <w:r w:rsidRPr="000A1ACA">
        <w:rPr>
          <w:rFonts w:ascii="Aptos" w:eastAsia="Times New Roman" w:hAnsi="Aptos" w:cs="Calibri"/>
          <w:b/>
          <w:lang w:val="fr-CH"/>
        </w:rPr>
        <w:t xml:space="preserve"> </w:t>
      </w:r>
      <w:proofErr w:type="spellStart"/>
      <w:r w:rsidRPr="000A1ACA">
        <w:rPr>
          <w:rFonts w:ascii="Aptos" w:eastAsia="Times New Roman" w:hAnsi="Aptos" w:cs="Calibri"/>
          <w:lang w:val="fr-CH"/>
        </w:rPr>
        <w:t>University</w:t>
      </w:r>
      <w:proofErr w:type="spellEnd"/>
      <w:r w:rsidRPr="000A1ACA">
        <w:rPr>
          <w:rFonts w:ascii="Aptos" w:eastAsia="Times New Roman" w:hAnsi="Aptos" w:cs="Calibri"/>
          <w:lang w:val="fr-CH"/>
        </w:rPr>
        <w:t xml:space="preserve"> Paris-</w:t>
      </w:r>
      <w:proofErr w:type="spellStart"/>
      <w:r w:rsidRPr="000A1ACA">
        <w:rPr>
          <w:rFonts w:ascii="Aptos" w:eastAsia="Times New Roman" w:hAnsi="Aptos" w:cs="Calibri"/>
          <w:lang w:val="fr-CH"/>
        </w:rPr>
        <w:t>Pantheon</w:t>
      </w:r>
      <w:proofErr w:type="spellEnd"/>
      <w:r w:rsidRPr="000A1ACA">
        <w:rPr>
          <w:rFonts w:ascii="Aptos" w:eastAsia="Times New Roman" w:hAnsi="Aptos" w:cs="Calibri"/>
          <w:lang w:val="fr-CH"/>
        </w:rPr>
        <w:t>-Assas, France</w:t>
      </w:r>
    </w:p>
    <w:p w14:paraId="0F1833A5" w14:textId="77777777" w:rsidR="000A1ACA" w:rsidRPr="000A1ACA" w:rsidRDefault="000A1ACA" w:rsidP="000A1ACA">
      <w:pPr>
        <w:spacing w:after="0" w:line="340" w:lineRule="exact"/>
        <w:ind w:left="426" w:right="567"/>
        <w:rPr>
          <w:rFonts w:ascii="Aptos" w:eastAsia="Times New Roman" w:hAnsi="Aptos" w:cs="Calibri"/>
          <w:lang w:val="en-GB"/>
        </w:rPr>
      </w:pPr>
      <w:r w:rsidRPr="000A1ACA">
        <w:rPr>
          <w:rFonts w:ascii="Aptos" w:eastAsia="Times New Roman" w:hAnsi="Aptos" w:cs="Calibri"/>
          <w:b/>
          <w:lang w:val="en-GB"/>
        </w:rPr>
        <w:t>Ross ANDERSON</w:t>
      </w:r>
      <w:r w:rsidRPr="000A1ACA">
        <w:rPr>
          <w:rFonts w:ascii="Aptos" w:eastAsia="Times New Roman" w:hAnsi="Aptos" w:cs="Calibri"/>
          <w:bCs/>
          <w:lang w:val="en-GB"/>
        </w:rPr>
        <w:t>,</w:t>
      </w:r>
      <w:r w:rsidRPr="000A1ACA">
        <w:rPr>
          <w:rFonts w:ascii="Aptos" w:eastAsia="Times New Roman" w:hAnsi="Aptos" w:cs="Calibri"/>
          <w:b/>
          <w:lang w:val="en-GB"/>
        </w:rPr>
        <w:t xml:space="preserve"> </w:t>
      </w:r>
      <w:r w:rsidRPr="000A1ACA">
        <w:rPr>
          <w:rFonts w:ascii="Aptos" w:eastAsia="Times New Roman" w:hAnsi="Aptos" w:cs="Calibri"/>
          <w:lang w:val="en-GB"/>
        </w:rPr>
        <w:t>Faculty of Advocates, Edinburgh, Scotland</w:t>
      </w:r>
    </w:p>
    <w:p w14:paraId="2E8206B3" w14:textId="77777777" w:rsidR="000A1ACA" w:rsidRPr="000A1ACA" w:rsidRDefault="000A1ACA" w:rsidP="000A1ACA">
      <w:pPr>
        <w:spacing w:after="0" w:line="340" w:lineRule="exact"/>
        <w:ind w:left="426" w:right="567"/>
        <w:rPr>
          <w:rFonts w:ascii="Aptos" w:eastAsia="Times New Roman" w:hAnsi="Aptos" w:cs="Calibri"/>
          <w:lang w:val="en-GB"/>
        </w:rPr>
      </w:pPr>
      <w:r w:rsidRPr="000A1ACA">
        <w:rPr>
          <w:rFonts w:ascii="Aptos" w:eastAsia="Times New Roman" w:hAnsi="Aptos" w:cs="Calibri"/>
          <w:b/>
          <w:lang w:val="en-GB"/>
        </w:rPr>
        <w:t xml:space="preserve">Özlem BURDURLU AHLAT, </w:t>
      </w:r>
      <w:proofErr w:type="spellStart"/>
      <w:r w:rsidRPr="000A1ACA">
        <w:rPr>
          <w:rFonts w:ascii="Aptos" w:eastAsia="Times New Roman" w:hAnsi="Aptos" w:cs="Calibri"/>
          <w:lang w:val="en-GB"/>
        </w:rPr>
        <w:t>Afyon</w:t>
      </w:r>
      <w:proofErr w:type="spellEnd"/>
      <w:r w:rsidRPr="000A1ACA">
        <w:rPr>
          <w:rFonts w:ascii="Aptos" w:eastAsia="Times New Roman" w:hAnsi="Aptos" w:cs="Calibri"/>
          <w:lang w:val="en-GB"/>
        </w:rPr>
        <w:t xml:space="preserve"> </w:t>
      </w:r>
      <w:proofErr w:type="spellStart"/>
      <w:r w:rsidRPr="000A1ACA">
        <w:rPr>
          <w:rFonts w:ascii="Aptos" w:eastAsia="Times New Roman" w:hAnsi="Aptos" w:cs="Calibri"/>
          <w:lang w:val="en-GB"/>
        </w:rPr>
        <w:t>Kocatepe</w:t>
      </w:r>
      <w:proofErr w:type="spellEnd"/>
      <w:r w:rsidRPr="000A1ACA">
        <w:rPr>
          <w:rFonts w:ascii="Aptos" w:eastAsia="Times New Roman" w:hAnsi="Aptos" w:cs="Calibri"/>
          <w:lang w:val="en-GB"/>
        </w:rPr>
        <w:t xml:space="preserve"> University, Turkey</w:t>
      </w:r>
    </w:p>
    <w:p w14:paraId="4D47DEFD" w14:textId="77777777" w:rsidR="000A1ACA" w:rsidRPr="003E6D31" w:rsidRDefault="000A1ACA" w:rsidP="000A1ACA">
      <w:pPr>
        <w:spacing w:after="0" w:line="340" w:lineRule="exact"/>
        <w:ind w:left="426" w:right="567"/>
        <w:rPr>
          <w:rFonts w:ascii="Aptos" w:eastAsia="Times New Roman" w:hAnsi="Aptos" w:cs="Calibri"/>
          <w:b/>
          <w:lang w:val="it-IT"/>
        </w:rPr>
      </w:pPr>
      <w:r w:rsidRPr="003E6D31">
        <w:rPr>
          <w:rFonts w:ascii="Aptos" w:eastAsia="Times New Roman" w:hAnsi="Aptos" w:cs="Calibri"/>
          <w:b/>
          <w:lang w:val="it-IT"/>
        </w:rPr>
        <w:t>Isabela T. C. DONDONE</w:t>
      </w:r>
      <w:r w:rsidRPr="003E6D31">
        <w:rPr>
          <w:rFonts w:ascii="Aptos" w:eastAsia="Times New Roman" w:hAnsi="Aptos" w:cs="Calibri"/>
          <w:lang w:val="it-IT"/>
        </w:rPr>
        <w:t xml:space="preserve">, </w:t>
      </w:r>
      <w:r w:rsidRPr="003E6D31">
        <w:rPr>
          <w:rFonts w:ascii="Aptos" w:hAnsi="Aptos"/>
          <w:lang w:val="it-IT"/>
        </w:rPr>
        <w:t xml:space="preserve">Federal University of </w:t>
      </w:r>
      <w:proofErr w:type="spellStart"/>
      <w:r w:rsidRPr="003E6D31">
        <w:rPr>
          <w:rFonts w:ascii="Aptos" w:hAnsi="Aptos"/>
          <w:lang w:val="it-IT"/>
        </w:rPr>
        <w:t>Espírito</w:t>
      </w:r>
      <w:proofErr w:type="spellEnd"/>
      <w:r w:rsidRPr="003E6D31">
        <w:rPr>
          <w:rFonts w:ascii="Aptos" w:hAnsi="Aptos"/>
          <w:lang w:val="it-IT"/>
        </w:rPr>
        <w:t xml:space="preserve"> Santo, Brazil</w:t>
      </w:r>
    </w:p>
    <w:p w14:paraId="59426135" w14:textId="77777777" w:rsidR="000A1ACA" w:rsidRPr="003E6D31" w:rsidRDefault="000A1ACA" w:rsidP="000A1ACA">
      <w:pPr>
        <w:spacing w:after="0" w:line="340" w:lineRule="exact"/>
        <w:ind w:left="426"/>
        <w:rPr>
          <w:rFonts w:ascii="Aptos" w:eastAsia="Times New Roman" w:hAnsi="Aptos" w:cs="Calibri"/>
          <w:lang w:val="it-IT"/>
        </w:rPr>
      </w:pPr>
      <w:r w:rsidRPr="003E6D31">
        <w:rPr>
          <w:rFonts w:ascii="Aptos" w:eastAsia="Times New Roman" w:hAnsi="Aptos" w:cs="Calibri"/>
          <w:b/>
          <w:lang w:val="it-IT"/>
        </w:rPr>
        <w:t xml:space="preserve">Caterina D’OSUALDO, </w:t>
      </w:r>
      <w:proofErr w:type="spellStart"/>
      <w:r w:rsidRPr="003E6D31">
        <w:rPr>
          <w:rFonts w:ascii="Aptos" w:eastAsia="Times New Roman" w:hAnsi="Aptos" w:cs="Calibri"/>
          <w:lang w:val="it-IT"/>
        </w:rPr>
        <w:t>European</w:t>
      </w:r>
      <w:proofErr w:type="spellEnd"/>
      <w:r w:rsidRPr="003E6D31">
        <w:rPr>
          <w:rFonts w:ascii="Aptos" w:eastAsia="Times New Roman" w:hAnsi="Aptos" w:cs="Calibri"/>
          <w:lang w:val="it-IT"/>
        </w:rPr>
        <w:t xml:space="preserve"> Commission </w:t>
      </w:r>
    </w:p>
    <w:p w14:paraId="62980B2A" w14:textId="77777777" w:rsidR="000A1ACA" w:rsidRPr="003E6D31" w:rsidRDefault="000A1ACA" w:rsidP="000A1ACA">
      <w:pPr>
        <w:spacing w:after="0" w:line="340" w:lineRule="exact"/>
        <w:ind w:left="426"/>
        <w:rPr>
          <w:rFonts w:ascii="Aptos" w:eastAsia="Times New Roman" w:hAnsi="Aptos" w:cs="Calibri"/>
          <w:bCs/>
          <w:lang w:val="it-IT"/>
        </w:rPr>
      </w:pPr>
      <w:r w:rsidRPr="003E6D31">
        <w:rPr>
          <w:rFonts w:ascii="Aptos" w:eastAsia="Times New Roman" w:hAnsi="Aptos" w:cs="Calibri"/>
          <w:b/>
          <w:lang w:val="it-IT"/>
        </w:rPr>
        <w:t>Lukas HECKENDORN URSCHELER</w:t>
      </w:r>
      <w:r w:rsidRPr="003E6D31">
        <w:rPr>
          <w:rFonts w:ascii="Aptos" w:eastAsia="Times New Roman" w:hAnsi="Aptos" w:cs="Calibri"/>
          <w:bCs/>
          <w:lang w:val="it-IT"/>
        </w:rPr>
        <w:t xml:space="preserve">, Swiss Institute of Comparative Law, </w:t>
      </w:r>
      <w:proofErr w:type="spellStart"/>
      <w:r w:rsidRPr="003E6D31">
        <w:rPr>
          <w:rFonts w:ascii="Aptos" w:eastAsia="Times New Roman" w:hAnsi="Aptos" w:cs="Calibri"/>
          <w:bCs/>
          <w:lang w:val="it-IT"/>
        </w:rPr>
        <w:t>Switzerland</w:t>
      </w:r>
      <w:proofErr w:type="spellEnd"/>
    </w:p>
    <w:p w14:paraId="7DF12D16" w14:textId="77777777" w:rsidR="000A1ACA" w:rsidRPr="003E6D31" w:rsidRDefault="000A1ACA" w:rsidP="000A1ACA">
      <w:pPr>
        <w:spacing w:after="0" w:line="340" w:lineRule="exact"/>
        <w:ind w:left="426"/>
        <w:rPr>
          <w:rFonts w:ascii="Aptos" w:eastAsia="Times New Roman" w:hAnsi="Aptos" w:cs="Calibri"/>
          <w:lang w:val="it-IT"/>
        </w:rPr>
      </w:pPr>
      <w:r w:rsidRPr="003E6D31">
        <w:rPr>
          <w:rFonts w:ascii="Aptos" w:eastAsia="Times New Roman" w:hAnsi="Aptos" w:cs="Calibri"/>
          <w:b/>
          <w:lang w:val="it-IT"/>
        </w:rPr>
        <w:t xml:space="preserve">Michel HEINZMANN, </w:t>
      </w:r>
      <w:r w:rsidRPr="003E6D31">
        <w:rPr>
          <w:rFonts w:ascii="Aptos" w:eastAsia="Times New Roman" w:hAnsi="Aptos" w:cs="Calibri"/>
          <w:lang w:val="it-IT"/>
        </w:rPr>
        <w:t>University of Fribourg</w:t>
      </w:r>
      <w:r w:rsidRPr="003E6D31">
        <w:rPr>
          <w:rFonts w:ascii="Aptos" w:eastAsia="Times New Roman" w:hAnsi="Aptos" w:cs="Calibri"/>
          <w:bCs/>
          <w:lang w:val="it-IT"/>
        </w:rPr>
        <w:t xml:space="preserve">, </w:t>
      </w:r>
      <w:proofErr w:type="spellStart"/>
      <w:r w:rsidRPr="003E6D31">
        <w:rPr>
          <w:rFonts w:ascii="Aptos" w:eastAsia="Times New Roman" w:hAnsi="Aptos" w:cs="Calibri"/>
          <w:bCs/>
          <w:lang w:val="it-IT"/>
        </w:rPr>
        <w:t>Switzerland</w:t>
      </w:r>
      <w:proofErr w:type="spellEnd"/>
    </w:p>
    <w:p w14:paraId="285B953D" w14:textId="77777777" w:rsidR="000A1ACA" w:rsidRPr="003E6D31" w:rsidRDefault="000A1ACA" w:rsidP="000A1ACA">
      <w:pPr>
        <w:spacing w:after="0" w:line="340" w:lineRule="exact"/>
        <w:ind w:left="426"/>
        <w:rPr>
          <w:rFonts w:ascii="Aptos" w:eastAsia="Times New Roman" w:hAnsi="Aptos" w:cs="Calibri"/>
          <w:bCs/>
          <w:lang w:val="it-IT"/>
        </w:rPr>
      </w:pPr>
      <w:r w:rsidRPr="003E6D31">
        <w:rPr>
          <w:rFonts w:ascii="Aptos" w:eastAsia="Times New Roman" w:hAnsi="Aptos" w:cs="Calibri"/>
          <w:b/>
          <w:lang w:val="it-IT"/>
        </w:rPr>
        <w:t>Frank KLINKHAMMER</w:t>
      </w:r>
      <w:r w:rsidRPr="003E6D31">
        <w:rPr>
          <w:rFonts w:ascii="Aptos" w:eastAsia="Times New Roman" w:hAnsi="Aptos" w:cs="Calibri"/>
          <w:bCs/>
          <w:lang w:val="it-IT"/>
        </w:rPr>
        <w:t xml:space="preserve">, </w:t>
      </w:r>
      <w:r w:rsidRPr="003E6D31">
        <w:rPr>
          <w:rFonts w:ascii="Aptos" w:eastAsia="Times New Roman" w:hAnsi="Aptos" w:cs="Calibri"/>
          <w:lang w:val="it-IT"/>
        </w:rPr>
        <w:t>German Federal Supreme Court</w:t>
      </w:r>
    </w:p>
    <w:p w14:paraId="5C78FC88" w14:textId="77777777" w:rsidR="000A1ACA" w:rsidRPr="000A1ACA" w:rsidRDefault="000A1ACA" w:rsidP="000A1ACA">
      <w:pPr>
        <w:spacing w:after="0" w:line="340" w:lineRule="exact"/>
        <w:ind w:left="426" w:right="567"/>
        <w:rPr>
          <w:rFonts w:ascii="Aptos" w:eastAsia="Times New Roman" w:hAnsi="Aptos" w:cs="Calibri"/>
          <w:lang w:val="en-US"/>
        </w:rPr>
      </w:pPr>
      <w:r w:rsidRPr="000A1ACA">
        <w:rPr>
          <w:rFonts w:ascii="Aptos" w:eastAsia="Times New Roman" w:hAnsi="Aptos" w:cs="Calibri"/>
          <w:b/>
          <w:lang w:val="en-US"/>
        </w:rPr>
        <w:t xml:space="preserve">Aygun MAMMADZADA, </w:t>
      </w:r>
      <w:r w:rsidRPr="000A1ACA">
        <w:rPr>
          <w:rFonts w:ascii="Aptos" w:eastAsia="Times New Roman" w:hAnsi="Aptos" w:cs="Calibri"/>
          <w:lang w:val="en-US"/>
        </w:rPr>
        <w:t>Swansea Law School, United Kingdom</w:t>
      </w:r>
      <w:r w:rsidRPr="000A1ACA">
        <w:rPr>
          <w:rFonts w:ascii="Aptos" w:eastAsia="Times New Roman" w:hAnsi="Aptos" w:cs="Calibri"/>
          <w:i/>
          <w:lang w:val="en-US"/>
        </w:rPr>
        <w:t xml:space="preserve"> </w:t>
      </w:r>
    </w:p>
    <w:p w14:paraId="287CD02A" w14:textId="77777777" w:rsidR="000A1ACA" w:rsidRPr="000A1ACA" w:rsidRDefault="000A1ACA" w:rsidP="000A1ACA">
      <w:pPr>
        <w:spacing w:after="0" w:line="340" w:lineRule="exact"/>
        <w:ind w:left="426" w:right="567"/>
        <w:rPr>
          <w:rFonts w:ascii="Aptos" w:hAnsi="Aptos"/>
          <w:lang w:val="en-US"/>
        </w:rPr>
      </w:pPr>
      <w:r w:rsidRPr="000A1ACA">
        <w:rPr>
          <w:rFonts w:ascii="Aptos" w:eastAsia="Times New Roman" w:hAnsi="Aptos" w:cs="Calibri"/>
          <w:b/>
          <w:lang w:val="en-GB"/>
        </w:rPr>
        <w:t>Valesca R. B. MOSCHEN</w:t>
      </w:r>
      <w:r w:rsidRPr="000A1ACA">
        <w:rPr>
          <w:rFonts w:ascii="Aptos" w:eastAsia="Times New Roman" w:hAnsi="Aptos" w:cs="Calibri"/>
          <w:bCs/>
          <w:lang w:val="en-GB"/>
        </w:rPr>
        <w:t xml:space="preserve">, </w:t>
      </w:r>
      <w:r w:rsidRPr="000A1ACA">
        <w:rPr>
          <w:rFonts w:ascii="Aptos" w:hAnsi="Aptos"/>
          <w:lang w:val="en-US"/>
        </w:rPr>
        <w:t>Federal University of Espírito Santo, Brazil</w:t>
      </w:r>
    </w:p>
    <w:p w14:paraId="574A9E2B" w14:textId="77777777" w:rsidR="000A1ACA" w:rsidRPr="000A1ACA" w:rsidRDefault="000A1ACA" w:rsidP="000A1ACA">
      <w:pPr>
        <w:spacing w:after="0" w:line="340" w:lineRule="exact"/>
        <w:ind w:left="426" w:right="567"/>
        <w:rPr>
          <w:rFonts w:ascii="Aptos" w:eastAsia="Times New Roman" w:hAnsi="Aptos" w:cs="Calibri"/>
          <w:b/>
          <w:lang w:val="en-US"/>
        </w:rPr>
      </w:pPr>
      <w:r w:rsidRPr="000A1ACA">
        <w:rPr>
          <w:rFonts w:ascii="Aptos" w:eastAsia="Times New Roman" w:hAnsi="Aptos" w:cs="Calibri"/>
          <w:b/>
          <w:lang w:val="en-GB"/>
        </w:rPr>
        <w:t xml:space="preserve">Asya OSTROUKH, </w:t>
      </w:r>
      <w:r w:rsidRPr="000A1ACA">
        <w:rPr>
          <w:rFonts w:ascii="Aptos" w:eastAsia="Times New Roman" w:hAnsi="Aptos" w:cs="Calibri"/>
          <w:lang w:val="en-US"/>
        </w:rPr>
        <w:t>University of the West Indies, Barbados</w:t>
      </w:r>
    </w:p>
    <w:p w14:paraId="64A2B953" w14:textId="77777777" w:rsidR="000A1ACA" w:rsidRPr="000A1ACA" w:rsidRDefault="000A1ACA" w:rsidP="000A1ACA">
      <w:pPr>
        <w:spacing w:after="0" w:line="340" w:lineRule="exact"/>
        <w:ind w:left="426" w:right="567"/>
        <w:rPr>
          <w:rFonts w:ascii="Aptos" w:eastAsia="Times New Roman" w:hAnsi="Aptos" w:cs="Calibri"/>
          <w:lang w:val="en-GB"/>
        </w:rPr>
      </w:pPr>
      <w:r w:rsidRPr="000A1ACA">
        <w:rPr>
          <w:rFonts w:ascii="Aptos" w:eastAsia="Times New Roman" w:hAnsi="Aptos" w:cs="Calibri"/>
          <w:b/>
          <w:lang w:val="en-GB"/>
        </w:rPr>
        <w:t>Ilaria PRETELLI</w:t>
      </w:r>
      <w:r w:rsidRPr="000A1ACA">
        <w:rPr>
          <w:rFonts w:ascii="Aptos" w:eastAsia="Times New Roman" w:hAnsi="Aptos" w:cs="Calibri"/>
          <w:bCs/>
          <w:lang w:val="en-GB"/>
        </w:rPr>
        <w:t xml:space="preserve">, </w:t>
      </w:r>
      <w:r w:rsidRPr="000A1ACA">
        <w:rPr>
          <w:rFonts w:ascii="Aptos" w:eastAsia="Times New Roman" w:hAnsi="Aptos" w:cs="Calibri"/>
          <w:lang w:val="en-GB"/>
        </w:rPr>
        <w:t xml:space="preserve">Swiss Institute of Comparative Law, </w:t>
      </w:r>
      <w:r w:rsidRPr="000A1ACA">
        <w:rPr>
          <w:rFonts w:ascii="Aptos" w:eastAsia="Times New Roman" w:hAnsi="Aptos" w:cs="Calibri"/>
          <w:bCs/>
          <w:lang w:val="en-US"/>
        </w:rPr>
        <w:t>Switzerland</w:t>
      </w:r>
    </w:p>
    <w:p w14:paraId="51AC9FF6" w14:textId="77777777" w:rsidR="000A1ACA" w:rsidRPr="000A1ACA" w:rsidRDefault="000A1ACA" w:rsidP="000A1ACA">
      <w:pPr>
        <w:spacing w:after="0" w:line="340" w:lineRule="exact"/>
        <w:ind w:right="567" w:firstLine="426"/>
        <w:rPr>
          <w:rFonts w:ascii="Aptos" w:eastAsia="Times New Roman" w:hAnsi="Aptos" w:cs="Calibri"/>
          <w:bCs/>
          <w:lang w:val="de-CH"/>
        </w:rPr>
      </w:pPr>
      <w:r w:rsidRPr="000A1ACA">
        <w:rPr>
          <w:rFonts w:ascii="Aptos" w:eastAsia="Times New Roman" w:hAnsi="Aptos" w:cs="Calibri"/>
          <w:b/>
          <w:lang w:val="de-CH"/>
        </w:rPr>
        <w:t>Henrik SAUGMANDSGAARD ØE</w:t>
      </w:r>
      <w:r w:rsidRPr="000A1ACA">
        <w:rPr>
          <w:rFonts w:ascii="Aptos" w:eastAsia="Times New Roman" w:hAnsi="Aptos" w:cs="Calibri"/>
          <w:bCs/>
          <w:lang w:val="de-CH"/>
        </w:rPr>
        <w:t xml:space="preserve">, </w:t>
      </w:r>
      <w:proofErr w:type="spellStart"/>
      <w:r w:rsidRPr="000A1ACA">
        <w:rPr>
          <w:rFonts w:ascii="Aptos" w:eastAsia="Times New Roman" w:hAnsi="Aptos" w:cs="Calibri"/>
          <w:bCs/>
          <w:lang w:val="de-CH"/>
        </w:rPr>
        <w:t>Gorrissen</w:t>
      </w:r>
      <w:proofErr w:type="spellEnd"/>
      <w:r w:rsidRPr="000A1ACA">
        <w:rPr>
          <w:rFonts w:ascii="Aptos" w:eastAsia="Times New Roman" w:hAnsi="Aptos" w:cs="Calibri"/>
          <w:bCs/>
          <w:lang w:val="de-CH"/>
        </w:rPr>
        <w:t xml:space="preserve"> Federspiel, </w:t>
      </w:r>
      <w:proofErr w:type="spellStart"/>
      <w:r w:rsidRPr="000A1ACA">
        <w:rPr>
          <w:rFonts w:ascii="Aptos" w:eastAsia="Times New Roman" w:hAnsi="Aptos" w:cs="Calibri"/>
          <w:bCs/>
          <w:lang w:val="de-CH"/>
        </w:rPr>
        <w:t>Denmark</w:t>
      </w:r>
      <w:proofErr w:type="spellEnd"/>
    </w:p>
    <w:p w14:paraId="66816F0A" w14:textId="77777777" w:rsidR="000A1ACA" w:rsidRPr="000A1ACA" w:rsidRDefault="000A1ACA" w:rsidP="000A1ACA">
      <w:pPr>
        <w:spacing w:after="0" w:line="340" w:lineRule="exact"/>
        <w:ind w:right="567" w:firstLine="426"/>
        <w:rPr>
          <w:rFonts w:ascii="Aptos" w:eastAsia="Times New Roman" w:hAnsi="Aptos" w:cs="Calibri"/>
          <w:b/>
          <w:lang w:val="en-GB"/>
        </w:rPr>
      </w:pPr>
      <w:r w:rsidRPr="000A1ACA">
        <w:rPr>
          <w:rFonts w:ascii="Aptos" w:eastAsia="Times New Roman" w:hAnsi="Aptos" w:cs="Calibri"/>
          <w:b/>
          <w:lang w:val="en-GB"/>
        </w:rPr>
        <w:t xml:space="preserve">Franz WERRO, </w:t>
      </w:r>
      <w:r w:rsidRPr="000A1ACA">
        <w:rPr>
          <w:rFonts w:ascii="Aptos" w:eastAsia="Times New Roman" w:hAnsi="Aptos" w:cs="Calibri"/>
          <w:bCs/>
          <w:lang w:val="en-GB"/>
        </w:rPr>
        <w:t>University of Fribourg, Switzerland and Georgetown University, USA</w:t>
      </w:r>
    </w:p>
    <w:p w14:paraId="0E8DC833" w14:textId="77777777" w:rsidR="000A1ACA" w:rsidRPr="000A1ACA" w:rsidRDefault="000A1ACA" w:rsidP="000A1ACA">
      <w:pPr>
        <w:spacing w:after="0" w:line="340" w:lineRule="exact"/>
        <w:ind w:right="567" w:firstLine="426"/>
        <w:rPr>
          <w:rFonts w:ascii="Aptos" w:eastAsia="Times New Roman" w:hAnsi="Aptos" w:cs="Calibri"/>
          <w:b/>
          <w:lang w:val="en-GB"/>
        </w:rPr>
      </w:pPr>
      <w:r w:rsidRPr="000A1ACA">
        <w:rPr>
          <w:rFonts w:ascii="Aptos" w:eastAsia="Times New Roman" w:hAnsi="Aptos" w:cs="Calibri"/>
          <w:b/>
          <w:noProof/>
          <w:lang w:val="en-GB"/>
        </w:rPr>
        <mc:AlternateContent>
          <mc:Choice Requires="wps">
            <w:drawing>
              <wp:anchor distT="0" distB="0" distL="114300" distR="114300" simplePos="0" relativeHeight="251666944" behindDoc="0" locked="0" layoutInCell="1" allowOverlap="1" wp14:anchorId="7045FFC7" wp14:editId="4872586C">
                <wp:simplePos x="0" y="0"/>
                <wp:positionH relativeFrom="margin">
                  <wp:align>center</wp:align>
                </wp:positionH>
                <wp:positionV relativeFrom="paragraph">
                  <wp:posOffset>3316605</wp:posOffset>
                </wp:positionV>
                <wp:extent cx="7833360" cy="2395220"/>
                <wp:effectExtent l="0" t="0" r="0" b="5080"/>
                <wp:wrapNone/>
                <wp:docPr id="89406096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3360" cy="2395220"/>
                        </a:xfrm>
                        <a:prstGeom prst="rect">
                          <a:avLst/>
                        </a:prstGeom>
                        <a:solidFill>
                          <a:srgbClr val="C00000"/>
                        </a:solidFill>
                        <a:ln w="9525">
                          <a:noFill/>
                          <a:miter lim="800000"/>
                          <a:headEnd/>
                          <a:tailEnd/>
                        </a:ln>
                      </wps:spPr>
                      <wps:txbx>
                        <w:txbxContent>
                          <w:p w14:paraId="77AAB06F" w14:textId="77777777" w:rsidR="000A1ACA" w:rsidRDefault="000A1ACA" w:rsidP="000A1ACA">
                            <w:pPr>
                              <w:spacing w:after="0"/>
                              <w:ind w:left="1276" w:right="1041"/>
                              <w:jc w:val="center"/>
                              <w:rPr>
                                <w:rFonts w:eastAsia="Times New Roman" w:cs="Calibri"/>
                                <w:sz w:val="24"/>
                                <w:szCs w:val="24"/>
                                <w:lang w:val="en-GB"/>
                              </w:rPr>
                            </w:pPr>
                          </w:p>
                          <w:p w14:paraId="6A3F8603" w14:textId="77777777" w:rsidR="000A1ACA" w:rsidRPr="00730CE4" w:rsidRDefault="000A1ACA" w:rsidP="000A1ACA">
                            <w:pPr>
                              <w:spacing w:after="0"/>
                              <w:ind w:left="1276" w:right="1041"/>
                              <w:jc w:val="center"/>
                              <w:rPr>
                                <w:rFonts w:eastAsia="Times New Roman" w:cs="Calibri"/>
                                <w:sz w:val="24"/>
                                <w:szCs w:val="24"/>
                                <w:lang w:val="en-GB"/>
                              </w:rPr>
                            </w:pPr>
                            <w:r w:rsidRPr="00730CE4">
                              <w:rPr>
                                <w:rFonts w:eastAsia="Times New Roman" w:cs="Calibri"/>
                                <w:sz w:val="24"/>
                                <w:szCs w:val="24"/>
                                <w:lang w:val="en-GB"/>
                              </w:rPr>
                              <w:t>The conference will take place at the Swiss Institute of Comparative in Lausanne</w:t>
                            </w:r>
                          </w:p>
                          <w:p w14:paraId="22050C50" w14:textId="77777777" w:rsidR="000A1ACA" w:rsidRPr="00730CE4" w:rsidRDefault="000A1ACA" w:rsidP="000A1ACA">
                            <w:pPr>
                              <w:spacing w:after="0"/>
                              <w:ind w:left="1276" w:right="1041"/>
                              <w:jc w:val="center"/>
                              <w:rPr>
                                <w:rFonts w:eastAsia="Times New Roman" w:cs="Calibri"/>
                                <w:sz w:val="24"/>
                                <w:szCs w:val="24"/>
                                <w:lang w:val="en-GB"/>
                              </w:rPr>
                            </w:pPr>
                            <w:r w:rsidRPr="00730CE4">
                              <w:rPr>
                                <w:rFonts w:eastAsia="Times New Roman" w:cs="Calibri"/>
                                <w:sz w:val="24"/>
                                <w:szCs w:val="24"/>
                                <w:lang w:val="en-GB"/>
                              </w:rPr>
                              <w:t>Interventions will be conducted in English and French</w:t>
                            </w:r>
                          </w:p>
                          <w:p w14:paraId="36B63021" w14:textId="77777777" w:rsidR="000A1ACA" w:rsidRPr="00730CE4" w:rsidRDefault="000A1ACA" w:rsidP="000A1ACA">
                            <w:pPr>
                              <w:spacing w:after="0"/>
                              <w:ind w:left="1276" w:right="1041"/>
                              <w:jc w:val="center"/>
                              <w:rPr>
                                <w:rFonts w:eastAsia="Times New Roman" w:cs="Calibri"/>
                                <w:sz w:val="24"/>
                                <w:szCs w:val="24"/>
                                <w:lang w:val="en-GB"/>
                              </w:rPr>
                            </w:pPr>
                            <w:r w:rsidRPr="00730CE4">
                              <w:rPr>
                                <w:rFonts w:eastAsia="Times New Roman" w:cs="Calibri"/>
                                <w:sz w:val="24"/>
                                <w:szCs w:val="24"/>
                                <w:lang w:val="en-GB"/>
                              </w:rPr>
                              <w:t xml:space="preserve">Registration is free but mandatory: </w:t>
                            </w:r>
                            <w:r>
                              <w:fldChar w:fldCharType="begin"/>
                            </w:r>
                            <w:r w:rsidRPr="003E6D31">
                              <w:rPr>
                                <w:lang w:val="en-US"/>
                              </w:rPr>
                              <w:instrText>HYPERLINK "mailto:events@isdc-dfjp.unil.ch"</w:instrText>
                            </w:r>
                            <w:r>
                              <w:fldChar w:fldCharType="separate"/>
                            </w:r>
                            <w:r w:rsidRPr="00E509E7">
                              <w:rPr>
                                <w:rStyle w:val="Lienhypertexte"/>
                                <w:rFonts w:eastAsia="Times New Roman" w:cs="Calibri"/>
                                <w:sz w:val="24"/>
                                <w:szCs w:val="24"/>
                                <w:lang w:val="en-GB"/>
                              </w:rPr>
                              <w:t>events@isdc-dfjp.unil.ch</w:t>
                            </w:r>
                            <w:r>
                              <w:fldChar w:fldCharType="end"/>
                            </w:r>
                          </w:p>
                          <w:p w14:paraId="06613E61" w14:textId="77777777" w:rsidR="000A1ACA" w:rsidRPr="00730CE4" w:rsidRDefault="000A1ACA" w:rsidP="000A1ACA">
                            <w:pPr>
                              <w:spacing w:after="0"/>
                              <w:ind w:left="1276" w:right="1041"/>
                              <w:jc w:val="center"/>
                              <w:rPr>
                                <w:rFonts w:eastAsia="Times New Roman" w:cs="Calibri"/>
                                <w:sz w:val="24"/>
                                <w:szCs w:val="24"/>
                                <w:lang w:val="fr-CH"/>
                              </w:rPr>
                            </w:pPr>
                            <w:proofErr w:type="gramStart"/>
                            <w:r w:rsidRPr="00730CE4">
                              <w:rPr>
                                <w:rFonts w:eastAsia="Times New Roman" w:cs="Calibri"/>
                                <w:sz w:val="24"/>
                                <w:szCs w:val="24"/>
                                <w:lang w:val="fr-CH"/>
                              </w:rPr>
                              <w:t>Information:</w:t>
                            </w:r>
                            <w:proofErr w:type="gramEnd"/>
                            <w:r w:rsidRPr="00730CE4">
                              <w:rPr>
                                <w:rFonts w:eastAsia="Times New Roman" w:cs="Calibri"/>
                                <w:sz w:val="24"/>
                                <w:szCs w:val="24"/>
                                <w:lang w:val="fr-CH"/>
                              </w:rPr>
                              <w:t xml:space="preserve"> </w:t>
                            </w:r>
                            <w:r w:rsidRPr="00730CE4">
                              <w:rPr>
                                <w:rFonts w:eastAsia="Times New Roman" w:cs="Calibri"/>
                                <w:sz w:val="24"/>
                                <w:szCs w:val="24"/>
                                <w:u w:val="single"/>
                                <w:lang w:val="fr-CH"/>
                              </w:rPr>
                              <w:t>marie-laure.lauria@isdc-dfjp.unil.ch</w:t>
                            </w:r>
                            <w:r w:rsidRPr="00730CE4">
                              <w:rPr>
                                <w:rFonts w:eastAsia="Times New Roman" w:cs="Calibri"/>
                                <w:sz w:val="24"/>
                                <w:szCs w:val="24"/>
                                <w:lang w:val="fr-CH"/>
                              </w:rPr>
                              <w:br/>
                            </w:r>
                          </w:p>
                          <w:p w14:paraId="5BA2C14A" w14:textId="77777777" w:rsidR="000A1ACA" w:rsidRDefault="000A1ACA" w:rsidP="000A1ACA">
                            <w:pPr>
                              <w:spacing w:after="0" w:line="240" w:lineRule="auto"/>
                              <w:ind w:left="1276" w:right="1041"/>
                              <w:jc w:val="center"/>
                              <w:rPr>
                                <w:color w:val="FFFFFF" w:themeColor="background1"/>
                                <w:sz w:val="24"/>
                                <w:szCs w:val="24"/>
                                <w:lang w:val="en-US"/>
                              </w:rPr>
                            </w:pPr>
                            <w:r w:rsidRPr="00730CE4">
                              <w:rPr>
                                <w:color w:val="FFFFFF" w:themeColor="background1"/>
                                <w:sz w:val="24"/>
                                <w:szCs w:val="24"/>
                                <w:lang w:val="en-US"/>
                              </w:rPr>
                              <w:t>Address:  Swiss Institute of Comparative Law</w:t>
                            </w:r>
                          </w:p>
                          <w:p w14:paraId="0DDE1A9D" w14:textId="77777777" w:rsidR="000A1ACA" w:rsidRDefault="000A1ACA" w:rsidP="000A1ACA">
                            <w:pPr>
                              <w:spacing w:after="0" w:line="240" w:lineRule="auto"/>
                              <w:ind w:left="1276" w:right="1041"/>
                              <w:jc w:val="center"/>
                              <w:rPr>
                                <w:color w:val="FFFFFF" w:themeColor="background1"/>
                                <w:sz w:val="24"/>
                                <w:szCs w:val="24"/>
                                <w:lang w:val="en-US"/>
                              </w:rPr>
                            </w:pPr>
                            <w:proofErr w:type="spellStart"/>
                            <w:r w:rsidRPr="00730CE4">
                              <w:rPr>
                                <w:color w:val="FFFFFF" w:themeColor="background1"/>
                                <w:sz w:val="24"/>
                                <w:szCs w:val="24"/>
                                <w:lang w:val="en-US"/>
                              </w:rPr>
                              <w:t>Dorigny</w:t>
                            </w:r>
                            <w:proofErr w:type="spellEnd"/>
                            <w:r w:rsidRPr="00730CE4">
                              <w:rPr>
                                <w:color w:val="FFFFFF" w:themeColor="background1"/>
                                <w:sz w:val="24"/>
                                <w:szCs w:val="24"/>
                                <w:lang w:val="en-US"/>
                              </w:rPr>
                              <w:t>, CH-1015 Lausanne</w:t>
                            </w:r>
                          </w:p>
                          <w:p w14:paraId="1CAFADA3" w14:textId="77777777" w:rsidR="000A1ACA" w:rsidRPr="00730CE4" w:rsidRDefault="000A1ACA" w:rsidP="000A1ACA">
                            <w:pPr>
                              <w:spacing w:after="0" w:line="240" w:lineRule="auto"/>
                              <w:ind w:left="1276" w:right="1041"/>
                              <w:jc w:val="center"/>
                              <w:rPr>
                                <w:color w:val="FFFFFF" w:themeColor="background1"/>
                                <w:sz w:val="24"/>
                                <w:szCs w:val="24"/>
                                <w:lang w:val="en-US"/>
                              </w:rPr>
                            </w:pPr>
                            <w:r w:rsidRPr="00730CE4">
                              <w:rPr>
                                <w:color w:val="FFFFFF" w:themeColor="background1"/>
                                <w:sz w:val="24"/>
                                <w:szCs w:val="24"/>
                                <w:lang w:val="en-US"/>
                              </w:rPr>
                              <w:t>Switzerland</w:t>
                            </w:r>
                          </w:p>
                          <w:p w14:paraId="1AA50D53" w14:textId="77777777" w:rsidR="000A1ACA" w:rsidRDefault="000A1ACA" w:rsidP="000A1ACA">
                            <w:pPr>
                              <w:spacing w:after="0" w:line="240" w:lineRule="auto"/>
                              <w:ind w:left="1276" w:right="1041"/>
                              <w:jc w:val="center"/>
                              <w:rPr>
                                <w:color w:val="FFFFFF" w:themeColor="background1"/>
                                <w:sz w:val="24"/>
                                <w:szCs w:val="24"/>
                                <w:lang w:val="fr-CH"/>
                              </w:rPr>
                            </w:pPr>
                            <w:r w:rsidRPr="00730CE4">
                              <w:rPr>
                                <w:color w:val="FFFFFF" w:themeColor="background1"/>
                                <w:sz w:val="24"/>
                                <w:szCs w:val="24"/>
                                <w:lang w:val="fr-CH"/>
                              </w:rPr>
                              <w:t xml:space="preserve">GPS </w:t>
                            </w:r>
                            <w:proofErr w:type="spellStart"/>
                            <w:proofErr w:type="gramStart"/>
                            <w:r w:rsidRPr="00730CE4">
                              <w:rPr>
                                <w:color w:val="FFFFFF" w:themeColor="background1"/>
                                <w:sz w:val="24"/>
                                <w:szCs w:val="24"/>
                                <w:lang w:val="fr-CH"/>
                              </w:rPr>
                              <w:t>coordinates</w:t>
                            </w:r>
                            <w:proofErr w:type="spellEnd"/>
                            <w:r w:rsidRPr="00730CE4">
                              <w:rPr>
                                <w:color w:val="FFFFFF" w:themeColor="background1"/>
                                <w:sz w:val="24"/>
                                <w:szCs w:val="24"/>
                                <w:lang w:val="fr-CH"/>
                              </w:rPr>
                              <w:t>:</w:t>
                            </w:r>
                            <w:proofErr w:type="gramEnd"/>
                            <w:r w:rsidRPr="00730CE4">
                              <w:rPr>
                                <w:color w:val="FFFFFF" w:themeColor="background1"/>
                                <w:sz w:val="24"/>
                                <w:szCs w:val="24"/>
                                <w:lang w:val="fr-CH"/>
                              </w:rPr>
                              <w:t> 46.52117 / 6.583</w:t>
                            </w:r>
                          </w:p>
                          <w:p w14:paraId="48FCEB17" w14:textId="77777777" w:rsidR="000A1ACA" w:rsidRDefault="000A1ACA" w:rsidP="000A1ACA">
                            <w:pPr>
                              <w:spacing w:after="0" w:line="240" w:lineRule="auto"/>
                              <w:ind w:left="1276" w:right="1041"/>
                              <w:jc w:val="center"/>
                              <w:rPr>
                                <w:color w:val="FFFFFF" w:themeColor="background1"/>
                                <w:sz w:val="24"/>
                                <w:szCs w:val="24"/>
                                <w:lang w:val="fr-CH"/>
                              </w:rPr>
                            </w:pPr>
                          </w:p>
                          <w:p w14:paraId="29D3A534" w14:textId="77777777" w:rsidR="000A1ACA" w:rsidRDefault="000A1ACA" w:rsidP="000A1ACA">
                            <w:pPr>
                              <w:spacing w:after="0" w:line="240" w:lineRule="auto"/>
                              <w:ind w:left="1276" w:right="1041"/>
                              <w:jc w:val="center"/>
                              <w:rPr>
                                <w:color w:val="FFFFFF" w:themeColor="background1"/>
                                <w:sz w:val="24"/>
                                <w:szCs w:val="24"/>
                                <w:lang w:val="fr-CH"/>
                              </w:rPr>
                            </w:pPr>
                          </w:p>
                          <w:p w14:paraId="3775792F" w14:textId="77777777" w:rsidR="000A1ACA" w:rsidRPr="00730CE4" w:rsidRDefault="000A1ACA" w:rsidP="000A1ACA">
                            <w:pPr>
                              <w:spacing w:after="0" w:line="240" w:lineRule="auto"/>
                              <w:ind w:left="1276" w:right="1041"/>
                              <w:jc w:val="center"/>
                              <w:rPr>
                                <w:color w:val="FFFFFF" w:themeColor="background1"/>
                                <w:sz w:val="24"/>
                                <w:szCs w:val="24"/>
                                <w:lang w:val="fr-CH"/>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45FFC7" id="_x0000_s1028" type="#_x0000_t202" style="position:absolute;left:0;text-align:left;margin-left:0;margin-top:261.15pt;width:616.8pt;height:188.6pt;z-index:251666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" fillcolor="#c00000" stroked="f">
                <v:textbox>
                  <w:txbxContent>
                    <w:p w14:paraId="77AAB06F" w14:textId="77777777" w:rsidR="000A1ACA" w:rsidRDefault="000A1ACA" w:rsidP="000A1ACA">
                      <w:pPr>
                        <w:spacing w:after="0"/>
                        <w:ind w:left="1276" w:right="1041"/>
                        <w:jc w:val="center"/>
                        <w:rPr>
                          <w:rFonts w:eastAsia="Times New Roman" w:cs="Calibri"/>
                          <w:sz w:val="24"/>
                          <w:szCs w:val="24"/>
                          <w:lang w:val="en-GB"/>
                        </w:rPr>
                      </w:pPr>
                    </w:p>
                    <w:p w14:paraId="6A3F8603" w14:textId="77777777" w:rsidR="000A1ACA" w:rsidRPr="00730CE4" w:rsidRDefault="000A1ACA" w:rsidP="000A1ACA">
                      <w:pPr>
                        <w:spacing w:after="0"/>
                        <w:ind w:left="1276" w:right="1041"/>
                        <w:jc w:val="center"/>
                        <w:rPr>
                          <w:rFonts w:eastAsia="Times New Roman" w:cs="Calibri"/>
                          <w:sz w:val="24"/>
                          <w:szCs w:val="24"/>
                          <w:lang w:val="en-GB"/>
                        </w:rPr>
                      </w:pPr>
                      <w:r w:rsidRPr="00730CE4">
                        <w:rPr>
                          <w:rFonts w:eastAsia="Times New Roman" w:cs="Calibri"/>
                          <w:sz w:val="24"/>
                          <w:szCs w:val="24"/>
                          <w:lang w:val="en-GB"/>
                        </w:rPr>
                        <w:t>The conference will take place at the Swiss Institute of Comparative in Lausanne</w:t>
                      </w:r>
                    </w:p>
                    <w:p w14:paraId="22050C50" w14:textId="77777777" w:rsidR="000A1ACA" w:rsidRPr="00730CE4" w:rsidRDefault="000A1ACA" w:rsidP="000A1ACA">
                      <w:pPr>
                        <w:spacing w:after="0"/>
                        <w:ind w:left="1276" w:right="1041"/>
                        <w:jc w:val="center"/>
                        <w:rPr>
                          <w:rFonts w:eastAsia="Times New Roman" w:cs="Calibri"/>
                          <w:sz w:val="24"/>
                          <w:szCs w:val="24"/>
                          <w:lang w:val="en-GB"/>
                        </w:rPr>
                      </w:pPr>
                      <w:r w:rsidRPr="00730CE4">
                        <w:rPr>
                          <w:rFonts w:eastAsia="Times New Roman" w:cs="Calibri"/>
                          <w:sz w:val="24"/>
                          <w:szCs w:val="24"/>
                          <w:lang w:val="en-GB"/>
                        </w:rPr>
                        <w:t>Interventions will be conducted in English and French</w:t>
                      </w:r>
                    </w:p>
                    <w:p w14:paraId="36B63021" w14:textId="77777777" w:rsidR="000A1ACA" w:rsidRPr="00730CE4" w:rsidRDefault="000A1ACA" w:rsidP="000A1ACA">
                      <w:pPr>
                        <w:spacing w:after="0"/>
                        <w:ind w:left="1276" w:right="1041"/>
                        <w:jc w:val="center"/>
                        <w:rPr>
                          <w:rFonts w:eastAsia="Times New Roman" w:cs="Calibri"/>
                          <w:sz w:val="24"/>
                          <w:szCs w:val="24"/>
                          <w:lang w:val="en-GB"/>
                        </w:rPr>
                      </w:pPr>
                      <w:r w:rsidRPr="00730CE4">
                        <w:rPr>
                          <w:rFonts w:eastAsia="Times New Roman" w:cs="Calibri"/>
                          <w:sz w:val="24"/>
                          <w:szCs w:val="24"/>
                          <w:lang w:val="en-GB"/>
                        </w:rPr>
                        <w:t xml:space="preserve">Registration is free but mandatory: </w:t>
                      </w:r>
                      <w:r>
                        <w:fldChar w:fldCharType="begin"/>
                      </w:r>
                      <w:r w:rsidRPr="003E6D31">
                        <w:rPr>
                          <w:lang w:val="en-US"/>
                        </w:rPr>
                        <w:instrText>HYPERLINK "mailto:events@isdc-dfjp.unil.ch"</w:instrText>
                      </w:r>
                      <w:r>
                        <w:fldChar w:fldCharType="separate"/>
                      </w:r>
                      <w:r w:rsidRPr="00E509E7">
                        <w:rPr>
                          <w:rStyle w:val="Lienhypertexte"/>
                          <w:rFonts w:eastAsia="Times New Roman" w:cs="Calibri"/>
                          <w:sz w:val="24"/>
                          <w:szCs w:val="24"/>
                          <w:lang w:val="en-GB"/>
                        </w:rPr>
                        <w:t>events@isdc-dfjp.unil.ch</w:t>
                      </w:r>
                      <w:r>
                        <w:fldChar w:fldCharType="end"/>
                      </w:r>
                    </w:p>
                    <w:p w14:paraId="06613E61" w14:textId="77777777" w:rsidR="000A1ACA" w:rsidRPr="00730CE4" w:rsidRDefault="000A1ACA" w:rsidP="000A1ACA">
                      <w:pPr>
                        <w:spacing w:after="0"/>
                        <w:ind w:left="1276" w:right="1041"/>
                        <w:jc w:val="center"/>
                        <w:rPr>
                          <w:rFonts w:eastAsia="Times New Roman" w:cs="Calibri"/>
                          <w:sz w:val="24"/>
                          <w:szCs w:val="24"/>
                          <w:lang w:val="fr-CH"/>
                        </w:rPr>
                      </w:pPr>
                      <w:proofErr w:type="gramStart"/>
                      <w:r w:rsidRPr="00730CE4">
                        <w:rPr>
                          <w:rFonts w:eastAsia="Times New Roman" w:cs="Calibri"/>
                          <w:sz w:val="24"/>
                          <w:szCs w:val="24"/>
                          <w:lang w:val="fr-CH"/>
                        </w:rPr>
                        <w:t>Information:</w:t>
                      </w:r>
                      <w:proofErr w:type="gramEnd"/>
                      <w:r w:rsidRPr="00730CE4">
                        <w:rPr>
                          <w:rFonts w:eastAsia="Times New Roman" w:cs="Calibri"/>
                          <w:sz w:val="24"/>
                          <w:szCs w:val="24"/>
                          <w:lang w:val="fr-CH"/>
                        </w:rPr>
                        <w:t xml:space="preserve"> </w:t>
                      </w:r>
                      <w:r w:rsidRPr="00730CE4">
                        <w:rPr>
                          <w:rFonts w:eastAsia="Times New Roman" w:cs="Calibri"/>
                          <w:sz w:val="24"/>
                          <w:szCs w:val="24"/>
                          <w:u w:val="single"/>
                          <w:lang w:val="fr-CH"/>
                        </w:rPr>
                        <w:t>marie-laure.lauria@isdc-dfjp.unil.ch</w:t>
                      </w:r>
                      <w:r w:rsidRPr="00730CE4">
                        <w:rPr>
                          <w:rFonts w:eastAsia="Times New Roman" w:cs="Calibri"/>
                          <w:sz w:val="24"/>
                          <w:szCs w:val="24"/>
                          <w:lang w:val="fr-CH"/>
                        </w:rPr>
                        <w:br/>
                      </w:r>
                    </w:p>
                    <w:p w14:paraId="5BA2C14A" w14:textId="77777777" w:rsidR="000A1ACA" w:rsidRDefault="000A1ACA" w:rsidP="000A1ACA">
                      <w:pPr>
                        <w:spacing w:after="0" w:line="240" w:lineRule="auto"/>
                        <w:ind w:left="1276" w:right="1041"/>
                        <w:jc w:val="center"/>
                        <w:rPr>
                          <w:color w:val="FFFFFF" w:themeColor="background1"/>
                          <w:sz w:val="24"/>
                          <w:szCs w:val="24"/>
                          <w:lang w:val="en-US"/>
                        </w:rPr>
                      </w:pPr>
                      <w:r w:rsidRPr="00730CE4">
                        <w:rPr>
                          <w:color w:val="FFFFFF" w:themeColor="background1"/>
                          <w:sz w:val="24"/>
                          <w:szCs w:val="24"/>
                          <w:lang w:val="en-US"/>
                        </w:rPr>
                        <w:t>Address:  Swiss Institute of Comparative Law</w:t>
                      </w:r>
                    </w:p>
                    <w:p w14:paraId="0DDE1A9D" w14:textId="77777777" w:rsidR="000A1ACA" w:rsidRDefault="000A1ACA" w:rsidP="000A1ACA">
                      <w:pPr>
                        <w:spacing w:after="0" w:line="240" w:lineRule="auto"/>
                        <w:ind w:left="1276" w:right="1041"/>
                        <w:jc w:val="center"/>
                        <w:rPr>
                          <w:color w:val="FFFFFF" w:themeColor="background1"/>
                          <w:sz w:val="24"/>
                          <w:szCs w:val="24"/>
                          <w:lang w:val="en-US"/>
                        </w:rPr>
                      </w:pPr>
                      <w:proofErr w:type="spellStart"/>
                      <w:r w:rsidRPr="00730CE4">
                        <w:rPr>
                          <w:color w:val="FFFFFF" w:themeColor="background1"/>
                          <w:sz w:val="24"/>
                          <w:szCs w:val="24"/>
                          <w:lang w:val="en-US"/>
                        </w:rPr>
                        <w:t>Dorigny</w:t>
                      </w:r>
                      <w:proofErr w:type="spellEnd"/>
                      <w:r w:rsidRPr="00730CE4">
                        <w:rPr>
                          <w:color w:val="FFFFFF" w:themeColor="background1"/>
                          <w:sz w:val="24"/>
                          <w:szCs w:val="24"/>
                          <w:lang w:val="en-US"/>
                        </w:rPr>
                        <w:t>, CH-1015 Lausanne</w:t>
                      </w:r>
                    </w:p>
                    <w:p w14:paraId="1CAFADA3" w14:textId="77777777" w:rsidR="000A1ACA" w:rsidRPr="00730CE4" w:rsidRDefault="000A1ACA" w:rsidP="000A1ACA">
                      <w:pPr>
                        <w:spacing w:after="0" w:line="240" w:lineRule="auto"/>
                        <w:ind w:left="1276" w:right="1041"/>
                        <w:jc w:val="center"/>
                        <w:rPr>
                          <w:color w:val="FFFFFF" w:themeColor="background1"/>
                          <w:sz w:val="24"/>
                          <w:szCs w:val="24"/>
                          <w:lang w:val="en-US"/>
                        </w:rPr>
                      </w:pPr>
                      <w:r w:rsidRPr="00730CE4">
                        <w:rPr>
                          <w:color w:val="FFFFFF" w:themeColor="background1"/>
                          <w:sz w:val="24"/>
                          <w:szCs w:val="24"/>
                          <w:lang w:val="en-US"/>
                        </w:rPr>
                        <w:t>Switzerland</w:t>
                      </w:r>
                    </w:p>
                    <w:p w14:paraId="1AA50D53" w14:textId="77777777" w:rsidR="000A1ACA" w:rsidRDefault="000A1ACA" w:rsidP="000A1ACA">
                      <w:pPr>
                        <w:spacing w:after="0" w:line="240" w:lineRule="auto"/>
                        <w:ind w:left="1276" w:right="1041"/>
                        <w:jc w:val="center"/>
                        <w:rPr>
                          <w:color w:val="FFFFFF" w:themeColor="background1"/>
                          <w:sz w:val="24"/>
                          <w:szCs w:val="24"/>
                          <w:lang w:val="fr-CH"/>
                        </w:rPr>
                      </w:pPr>
                      <w:r w:rsidRPr="00730CE4">
                        <w:rPr>
                          <w:color w:val="FFFFFF" w:themeColor="background1"/>
                          <w:sz w:val="24"/>
                          <w:szCs w:val="24"/>
                          <w:lang w:val="fr-CH"/>
                        </w:rPr>
                        <w:t xml:space="preserve">GPS </w:t>
                      </w:r>
                      <w:proofErr w:type="spellStart"/>
                      <w:proofErr w:type="gramStart"/>
                      <w:r w:rsidRPr="00730CE4">
                        <w:rPr>
                          <w:color w:val="FFFFFF" w:themeColor="background1"/>
                          <w:sz w:val="24"/>
                          <w:szCs w:val="24"/>
                          <w:lang w:val="fr-CH"/>
                        </w:rPr>
                        <w:t>coordinates</w:t>
                      </w:r>
                      <w:proofErr w:type="spellEnd"/>
                      <w:r w:rsidRPr="00730CE4">
                        <w:rPr>
                          <w:color w:val="FFFFFF" w:themeColor="background1"/>
                          <w:sz w:val="24"/>
                          <w:szCs w:val="24"/>
                          <w:lang w:val="fr-CH"/>
                        </w:rPr>
                        <w:t>:</w:t>
                      </w:r>
                      <w:proofErr w:type="gramEnd"/>
                      <w:r w:rsidRPr="00730CE4">
                        <w:rPr>
                          <w:color w:val="FFFFFF" w:themeColor="background1"/>
                          <w:sz w:val="24"/>
                          <w:szCs w:val="24"/>
                          <w:lang w:val="fr-CH"/>
                        </w:rPr>
                        <w:t> 46.52117 / 6.583</w:t>
                      </w:r>
                    </w:p>
                    <w:p w14:paraId="48FCEB17" w14:textId="77777777" w:rsidR="000A1ACA" w:rsidRDefault="000A1ACA" w:rsidP="000A1ACA">
                      <w:pPr>
                        <w:spacing w:after="0" w:line="240" w:lineRule="auto"/>
                        <w:ind w:left="1276" w:right="1041"/>
                        <w:jc w:val="center"/>
                        <w:rPr>
                          <w:color w:val="FFFFFF" w:themeColor="background1"/>
                          <w:sz w:val="24"/>
                          <w:szCs w:val="24"/>
                          <w:lang w:val="fr-CH"/>
                        </w:rPr>
                      </w:pPr>
                    </w:p>
                    <w:p w14:paraId="29D3A534" w14:textId="77777777" w:rsidR="000A1ACA" w:rsidRDefault="000A1ACA" w:rsidP="000A1ACA">
                      <w:pPr>
                        <w:spacing w:after="0" w:line="240" w:lineRule="auto"/>
                        <w:ind w:left="1276" w:right="1041"/>
                        <w:jc w:val="center"/>
                        <w:rPr>
                          <w:color w:val="FFFFFF" w:themeColor="background1"/>
                          <w:sz w:val="24"/>
                          <w:szCs w:val="24"/>
                          <w:lang w:val="fr-CH"/>
                        </w:rPr>
                      </w:pPr>
                    </w:p>
                    <w:p w14:paraId="3775792F" w14:textId="77777777" w:rsidR="000A1ACA" w:rsidRPr="00730CE4" w:rsidRDefault="000A1ACA" w:rsidP="000A1ACA">
                      <w:pPr>
                        <w:spacing w:after="0" w:line="240" w:lineRule="auto"/>
                        <w:ind w:left="1276" w:right="1041"/>
                        <w:jc w:val="center"/>
                        <w:rPr>
                          <w:color w:val="FFFFFF" w:themeColor="background1"/>
                          <w:sz w:val="24"/>
                          <w:szCs w:val="24"/>
                          <w:lang w:val="fr-CH"/>
                        </w:rPr>
                      </w:pPr>
                    </w:p>
                  </w:txbxContent>
                </v:textbox>
                <w10:wrap anchorx="margin"/>
              </v:shape>
            </w:pict>
          </mc:Fallback>
        </mc:AlternateContent>
      </w:r>
      <w:r w:rsidRPr="000A1ACA">
        <w:rPr>
          <w:rFonts w:ascii="Aptos" w:eastAsia="Times New Roman" w:hAnsi="Aptos" w:cs="Calibri"/>
          <w:b/>
          <w:lang w:val="en-GB"/>
        </w:rPr>
        <w:t xml:space="preserve">Nadjma YASSARI, </w:t>
      </w:r>
      <w:r w:rsidRPr="000A1ACA">
        <w:rPr>
          <w:rFonts w:ascii="Aptos" w:eastAsia="Times New Roman" w:hAnsi="Aptos" w:cs="Calibri"/>
          <w:bCs/>
          <w:lang w:val="en-GB"/>
        </w:rPr>
        <w:t>Swiss Institute of Comparative Law, Switzerland</w:t>
      </w:r>
    </w:p>
    <w:p w14:paraId="3A6D94AA" w14:textId="77777777" w:rsidR="000A1ACA" w:rsidRDefault="000A1ACA">
      <w:pPr>
        <w:spacing w:after="0" w:line="240" w:lineRule="auto"/>
        <w:rPr>
          <w:rFonts w:ascii="Aptos" w:hAnsi="Aptos" w:cs="Calibri"/>
          <w:b/>
          <w:bCs/>
          <w:color w:val="C00000"/>
          <w:sz w:val="24"/>
          <w:szCs w:val="24"/>
          <w:lang w:val="en-GB"/>
        </w:rPr>
      </w:pPr>
      <w:r>
        <w:rPr>
          <w:rFonts w:ascii="Aptos" w:hAnsi="Aptos" w:cs="Calibri"/>
          <w:b/>
          <w:bCs/>
          <w:color w:val="C00000"/>
          <w:sz w:val="24"/>
          <w:szCs w:val="24"/>
          <w:lang w:val="en-GB"/>
        </w:rPr>
        <w:br w:type="page"/>
      </w:r>
    </w:p>
    <w:p w14:paraId="56EEC60C" w14:textId="72C63F0C" w:rsidR="003D1282" w:rsidRPr="000A1ACA" w:rsidRDefault="003D1282">
      <w:pPr>
        <w:spacing w:after="0" w:line="240" w:lineRule="auto"/>
        <w:rPr>
          <w:rFonts w:ascii="Aptos" w:hAnsi="Aptos" w:cs="Calibri"/>
          <w:b/>
          <w:bCs/>
          <w:color w:val="C00000"/>
          <w:sz w:val="24"/>
          <w:szCs w:val="24"/>
          <w:lang w:val="en-GB"/>
        </w:rPr>
      </w:pPr>
      <w:r w:rsidRPr="000A1ACA">
        <w:rPr>
          <w:rFonts w:ascii="Aptos" w:hAnsi="Aptos" w:cs="Calibri"/>
          <w:b/>
          <w:bCs/>
          <w:color w:val="C00000"/>
          <w:sz w:val="24"/>
          <w:szCs w:val="24"/>
          <w:lang w:val="en-GB"/>
        </w:rPr>
        <w:lastRenderedPageBreak/>
        <w:t xml:space="preserve">Abstracts </w:t>
      </w:r>
      <w:r w:rsidR="000A1ACA" w:rsidRPr="000A1ACA">
        <w:rPr>
          <w:rFonts w:ascii="Aptos" w:hAnsi="Aptos" w:cs="Calibri"/>
          <w:b/>
          <w:bCs/>
          <w:color w:val="C00000"/>
          <w:sz w:val="24"/>
          <w:szCs w:val="24"/>
          <w:lang w:val="en-GB"/>
        </w:rPr>
        <w:t>provided by the speakers</w:t>
      </w:r>
    </w:p>
    <w:p w14:paraId="477AE3E4" w14:textId="77777777" w:rsidR="000A1ACA" w:rsidRPr="000A1ACA" w:rsidRDefault="000A1ACA">
      <w:pPr>
        <w:spacing w:after="0" w:line="240" w:lineRule="auto"/>
        <w:rPr>
          <w:rFonts w:ascii="Aptos" w:hAnsi="Aptos" w:cs="Calibri"/>
          <w:b/>
          <w:bCs/>
          <w:color w:val="C00000"/>
          <w:sz w:val="24"/>
          <w:szCs w:val="24"/>
          <w:lang w:val="en-US"/>
        </w:rPr>
      </w:pPr>
    </w:p>
    <w:p w14:paraId="60DD2CBF" w14:textId="1353C837" w:rsidR="003D1282" w:rsidRPr="000A1ACA" w:rsidRDefault="003D1282">
      <w:pPr>
        <w:spacing w:after="0" w:line="240" w:lineRule="auto"/>
        <w:rPr>
          <w:rFonts w:ascii="Aptos" w:hAnsi="Aptos" w:cs="Calibri"/>
          <w:b/>
          <w:bCs/>
          <w:lang w:val="en-US"/>
        </w:rPr>
      </w:pPr>
      <w:r w:rsidRPr="000A1ACA">
        <w:rPr>
          <w:rFonts w:ascii="Aptos" w:hAnsi="Aptos" w:cs="Calibri"/>
          <w:b/>
          <w:bCs/>
          <w:lang w:val="en-US"/>
        </w:rPr>
        <w:t xml:space="preserve">Frank </w:t>
      </w:r>
      <w:r w:rsidRPr="000A1ACA">
        <w:rPr>
          <w:rFonts w:ascii="Aptos" w:eastAsia="Times New Roman" w:hAnsi="Aptos" w:cs="Calibri"/>
          <w:b/>
          <w:lang w:val="en-GB"/>
        </w:rPr>
        <w:t>KLINKHAMMER</w:t>
      </w:r>
    </w:p>
    <w:p w14:paraId="622727AB" w14:textId="77777777" w:rsidR="003D1282" w:rsidRPr="000A1ACA" w:rsidRDefault="003D1282">
      <w:pPr>
        <w:spacing w:after="0" w:line="240" w:lineRule="auto"/>
        <w:rPr>
          <w:rFonts w:ascii="Aptos" w:hAnsi="Aptos" w:cs="Calibri"/>
          <w:b/>
          <w:bCs/>
          <w:color w:val="C00000"/>
          <w:lang w:val="en-GB"/>
        </w:rPr>
      </w:pPr>
    </w:p>
    <w:p w14:paraId="0228D5F2" w14:textId="77777777" w:rsidR="003D1282" w:rsidRPr="000A1ACA" w:rsidRDefault="003D1282" w:rsidP="003D1282">
      <w:pPr>
        <w:jc w:val="both"/>
        <w:rPr>
          <w:rFonts w:ascii="Aptos" w:hAnsi="Aptos"/>
          <w:lang w:val="en-US"/>
        </w:rPr>
      </w:pPr>
      <w:r w:rsidRPr="000A1ACA">
        <w:rPr>
          <w:rFonts w:ascii="Aptos" w:hAnsi="Aptos"/>
          <w:lang w:val="en-US"/>
        </w:rPr>
        <w:t xml:space="preserve">The keynote will highlight the role of </w:t>
      </w:r>
      <w:r w:rsidRPr="000A1ACA">
        <w:rPr>
          <w:rFonts w:ascii="Aptos" w:hAnsi="Aptos"/>
          <w:color w:val="000000"/>
          <w:lang w:val="en-US"/>
        </w:rPr>
        <w:t>case law</w:t>
      </w:r>
      <w:r w:rsidRPr="000A1ACA">
        <w:rPr>
          <w:rFonts w:ascii="Aptos" w:hAnsi="Aptos"/>
          <w:lang w:val="en-US"/>
        </w:rPr>
        <w:t xml:space="preserve"> in the development of the law and its distinction from legal policy. The </w:t>
      </w:r>
      <w:r w:rsidRPr="000A1ACA">
        <w:rPr>
          <w:rFonts w:ascii="Aptos" w:hAnsi="Aptos"/>
          <w:color w:val="000000"/>
          <w:lang w:val="en-US"/>
        </w:rPr>
        <w:t>case law</w:t>
      </w:r>
      <w:r w:rsidRPr="000A1ACA">
        <w:rPr>
          <w:rFonts w:ascii="Aptos" w:hAnsi="Aptos"/>
          <w:lang w:val="en-US"/>
        </w:rPr>
        <w:t xml:space="preserve"> of the German Federal Court of Justice concerning the recognition of surrogacy arrangements carried out abroad will serve as an example.    </w:t>
      </w:r>
    </w:p>
    <w:p w14:paraId="73A4644D" w14:textId="77777777" w:rsidR="003D1282" w:rsidRPr="000A1ACA" w:rsidRDefault="003D1282" w:rsidP="003D1282">
      <w:pPr>
        <w:jc w:val="both"/>
        <w:rPr>
          <w:rFonts w:ascii="Aptos" w:hAnsi="Aptos"/>
          <w:lang w:val="en-US"/>
        </w:rPr>
      </w:pPr>
      <w:r w:rsidRPr="000A1ACA">
        <w:rPr>
          <w:rFonts w:ascii="Aptos" w:hAnsi="Aptos"/>
          <w:lang w:val="en-US"/>
        </w:rPr>
        <w:t xml:space="preserve">In Germany, there are two ways to approach the issue of surrogacy arrangements carried out abroad. On the one hand, there is </w:t>
      </w:r>
      <w:r w:rsidRPr="000A1ACA">
        <w:rPr>
          <w:rFonts w:ascii="Aptos" w:hAnsi="Aptos"/>
          <w:i/>
          <w:lang w:val="en-US"/>
        </w:rPr>
        <w:t xml:space="preserve">procedural </w:t>
      </w:r>
      <w:r w:rsidRPr="000A1ACA">
        <w:rPr>
          <w:rFonts w:ascii="Aptos" w:hAnsi="Aptos"/>
          <w:i/>
          <w:color w:val="000000"/>
          <w:lang w:val="en-US"/>
        </w:rPr>
        <w:t>recognition</w:t>
      </w:r>
      <w:r w:rsidRPr="000A1ACA">
        <w:rPr>
          <w:rFonts w:ascii="Aptos" w:hAnsi="Aptos"/>
          <w:lang w:val="en-US"/>
        </w:rPr>
        <w:t xml:space="preserve">, which applies when a court abroad has established or bindingly determined the legal parenthood of the intended parents. On the other hand, there is </w:t>
      </w:r>
      <w:r w:rsidRPr="000A1ACA">
        <w:rPr>
          <w:rFonts w:ascii="Aptos" w:hAnsi="Aptos"/>
          <w:i/>
          <w:lang w:val="en-US"/>
        </w:rPr>
        <w:t>recognition under conflict of laws</w:t>
      </w:r>
      <w:r w:rsidRPr="000A1ACA">
        <w:rPr>
          <w:rFonts w:ascii="Aptos" w:hAnsi="Aptos"/>
          <w:lang w:val="en-US"/>
        </w:rPr>
        <w:t xml:space="preserve">, which presupposes the applicability of the foreign legal system that gives </w:t>
      </w:r>
      <w:proofErr w:type="gramStart"/>
      <w:r w:rsidRPr="000A1ACA">
        <w:rPr>
          <w:rFonts w:ascii="Aptos" w:hAnsi="Aptos"/>
          <w:lang w:val="en-US"/>
        </w:rPr>
        <w:t>rises</w:t>
      </w:r>
      <w:proofErr w:type="gramEnd"/>
      <w:r w:rsidRPr="000A1ACA">
        <w:rPr>
          <w:rFonts w:ascii="Aptos" w:hAnsi="Aptos"/>
          <w:lang w:val="en-US"/>
        </w:rPr>
        <w:t xml:space="preserve"> to the intended parents' legal parenthood. These two types of recognition have led to different outcomes in two groups of cases. In the widely acclaimed California decision of 2014, the Federal Court of Justice, despite the domestic ban on surrogacy </w:t>
      </w:r>
      <w:proofErr w:type="spellStart"/>
      <w:r w:rsidRPr="000A1ACA">
        <w:rPr>
          <w:rFonts w:ascii="Aptos" w:hAnsi="Aptos"/>
          <w:lang w:val="en-US"/>
        </w:rPr>
        <w:t>recognised</w:t>
      </w:r>
      <w:proofErr w:type="spellEnd"/>
      <w:r w:rsidRPr="000A1ACA">
        <w:rPr>
          <w:rFonts w:ascii="Aptos" w:hAnsi="Aptos"/>
          <w:lang w:val="en-US"/>
        </w:rPr>
        <w:t xml:space="preserve"> the judgement issued in California, which established the parenthood of the intended parents.       </w:t>
      </w:r>
    </w:p>
    <w:p w14:paraId="04A8D172" w14:textId="77777777" w:rsidR="003D1282" w:rsidRPr="000A1ACA" w:rsidRDefault="003D1282" w:rsidP="003D1282">
      <w:pPr>
        <w:jc w:val="both"/>
        <w:rPr>
          <w:rFonts w:ascii="Aptos" w:hAnsi="Aptos"/>
          <w:lang w:val="en-US"/>
        </w:rPr>
      </w:pPr>
      <w:r w:rsidRPr="000A1ACA">
        <w:rPr>
          <w:rFonts w:ascii="Aptos" w:hAnsi="Aptos"/>
          <w:lang w:val="en-US"/>
        </w:rPr>
        <w:t xml:space="preserve">However, the Federal Court of Justice reached a different conclusion in two rulings on surrogacy in Ukraine, handed down in 2019. In these cases, Ukrainian law would have been applicable only if the child had had its habitual residence in Ukraine. Since the Federal Court of Justice ruled that this was not the case, German law applied, as the child was living in Germany with its intended parents shortly after its birth. Under German law, the legal mother was the Ukrainian surrogate mother - the woman who had given birth to the child. </w:t>
      </w:r>
    </w:p>
    <w:p w14:paraId="5B77A302" w14:textId="77777777" w:rsidR="003D1282" w:rsidRPr="000A1ACA" w:rsidRDefault="003D1282" w:rsidP="003D1282">
      <w:pPr>
        <w:jc w:val="both"/>
        <w:rPr>
          <w:rFonts w:ascii="Aptos" w:hAnsi="Aptos"/>
          <w:lang w:val="en-US"/>
        </w:rPr>
      </w:pPr>
      <w:r w:rsidRPr="000A1ACA">
        <w:rPr>
          <w:rFonts w:ascii="Aptos" w:hAnsi="Aptos"/>
          <w:lang w:val="en-US"/>
        </w:rPr>
        <w:t xml:space="preserve">Are the decisions issued on the same subject therefore contradictory? </w:t>
      </w:r>
    </w:p>
    <w:p w14:paraId="17B55E18" w14:textId="77777777" w:rsidR="003D1282" w:rsidRPr="000A1ACA" w:rsidRDefault="003D1282" w:rsidP="003D1282">
      <w:pPr>
        <w:jc w:val="both"/>
        <w:rPr>
          <w:rFonts w:ascii="Aptos" w:hAnsi="Aptos"/>
          <w:lang w:val="en-US"/>
        </w:rPr>
      </w:pPr>
      <w:r w:rsidRPr="000A1ACA">
        <w:rPr>
          <w:rFonts w:ascii="Aptos" w:hAnsi="Aptos"/>
          <w:lang w:val="en-US"/>
        </w:rPr>
        <w:t>New development can be observed in Ukraine</w:t>
      </w:r>
      <w:proofErr w:type="gramStart"/>
      <w:r w:rsidRPr="000A1ACA">
        <w:rPr>
          <w:rFonts w:ascii="Aptos" w:hAnsi="Aptos"/>
          <w:lang w:val="en-US"/>
        </w:rPr>
        <w:t>. .</w:t>
      </w:r>
      <w:proofErr w:type="gramEnd"/>
      <w:r w:rsidRPr="000A1ACA">
        <w:rPr>
          <w:rFonts w:ascii="Aptos" w:hAnsi="Aptos"/>
          <w:lang w:val="en-US"/>
        </w:rPr>
        <w:t xml:space="preserve"> In cases before the lower courts, German intended parents have now also submitted Ukrainian court decisions establishing their legal parenthood. Does this demonstrate how quickly those involved in the surrogacy business in so called "provider jurisdictions" – in this case Ukraine – adapt to the legal requirements of "demand jurisdictions" – such as the Federal Republic of Germany? Were the Ukrainian decisions rendered in violation of Ukrainian law on international jurisdiction, or is this question beside the point?</w:t>
      </w:r>
    </w:p>
    <w:p w14:paraId="23E77472" w14:textId="77777777" w:rsidR="003D1282" w:rsidRPr="000A1ACA" w:rsidRDefault="003D1282" w:rsidP="003D1282">
      <w:pPr>
        <w:jc w:val="both"/>
        <w:rPr>
          <w:rFonts w:ascii="Aptos" w:hAnsi="Aptos"/>
          <w:lang w:val="en-US"/>
        </w:rPr>
      </w:pPr>
      <w:r w:rsidRPr="000A1ACA">
        <w:rPr>
          <w:rFonts w:ascii="Aptos" w:hAnsi="Aptos"/>
          <w:lang w:val="en-US"/>
        </w:rPr>
        <w:t xml:space="preserve">The keynote aims to </w:t>
      </w:r>
      <w:proofErr w:type="spellStart"/>
      <w:r w:rsidRPr="000A1ACA">
        <w:rPr>
          <w:rFonts w:ascii="Aptos" w:hAnsi="Aptos"/>
          <w:lang w:val="en-US"/>
        </w:rPr>
        <w:t>contextualise</w:t>
      </w:r>
      <w:proofErr w:type="spellEnd"/>
      <w:r w:rsidRPr="000A1ACA">
        <w:rPr>
          <w:rFonts w:ascii="Aptos" w:hAnsi="Aptos"/>
          <w:lang w:val="en-US"/>
        </w:rPr>
        <w:t xml:space="preserve"> these developments. It raises questions of the legal implications of German case law and the distinction between legal development and legal policy. The tendency towards openness in German case law is contrasted with the restrictive case law of the Swiss Federal Supreme Court, which, based on the outcome achieved, namely the refusal to assign legal parenthood to the intended parents and the resulting need for adoption, shares the view of the Swiss Ethics Commission that the current situation is unsatisfactory, but considers that a solution can only be achieved through legislation. </w:t>
      </w:r>
    </w:p>
    <w:p w14:paraId="016AF5F6" w14:textId="77777777" w:rsidR="003D1282" w:rsidRPr="000A1ACA" w:rsidRDefault="003D1282" w:rsidP="003D1282">
      <w:pPr>
        <w:jc w:val="both"/>
        <w:rPr>
          <w:rFonts w:ascii="Aptos" w:hAnsi="Aptos"/>
          <w:lang w:val="en-US"/>
        </w:rPr>
      </w:pPr>
      <w:r w:rsidRPr="000A1ACA">
        <w:rPr>
          <w:rFonts w:ascii="Aptos" w:hAnsi="Aptos"/>
          <w:lang w:val="en-US"/>
        </w:rPr>
        <w:t xml:space="preserve">What options are available under national legislation, given that at the beginning of the last legislative period Germany sought, for the first time, to put altruistic surrogacy to the test under the heading of "reproductive self-determination"? Can clarification be expected from the European Union's plans for a Regulation on Parenthood or from the long-standing project of the Hague Conference on Private International Law on parenthood and surrogacy? </w:t>
      </w:r>
    </w:p>
    <w:p w14:paraId="7F6A88D9" w14:textId="77777777" w:rsidR="003D1282" w:rsidRPr="000A1ACA" w:rsidRDefault="003D1282" w:rsidP="003D1282">
      <w:pPr>
        <w:jc w:val="both"/>
        <w:rPr>
          <w:rFonts w:ascii="Aptos" w:hAnsi="Aptos"/>
          <w:lang w:val="en-US"/>
        </w:rPr>
      </w:pPr>
      <w:r w:rsidRPr="000A1ACA">
        <w:rPr>
          <w:rFonts w:ascii="Aptos" w:hAnsi="Aptos"/>
          <w:lang w:val="en-US"/>
        </w:rPr>
        <w:t xml:space="preserve">What forces are at play and what role is played by the </w:t>
      </w:r>
      <w:r w:rsidRPr="000A1ACA">
        <w:rPr>
          <w:rFonts w:ascii="Aptos" w:hAnsi="Aptos"/>
          <w:color w:val="000000"/>
          <w:lang w:val="en-US"/>
        </w:rPr>
        <w:t>jurisprudence of the national courts, the ECJ and the ECtHR</w:t>
      </w:r>
      <w:r w:rsidRPr="000A1ACA">
        <w:rPr>
          <w:rFonts w:ascii="Aptos" w:hAnsi="Aptos"/>
          <w:lang w:val="en-US"/>
        </w:rPr>
        <w:t xml:space="preserve">?  </w:t>
      </w:r>
    </w:p>
    <w:p w14:paraId="770F4010" w14:textId="77777777" w:rsidR="004E6BD7" w:rsidRPr="000A1ACA" w:rsidRDefault="004E6BD7">
      <w:pPr>
        <w:spacing w:after="0" w:line="240" w:lineRule="auto"/>
        <w:rPr>
          <w:rFonts w:ascii="Aptos" w:hAnsi="Aptos" w:cs="Calibri"/>
          <w:b/>
          <w:bCs/>
          <w:color w:val="C00000"/>
          <w:lang w:val="en-US"/>
        </w:rPr>
      </w:pPr>
    </w:p>
    <w:p w14:paraId="7C7F206C" w14:textId="77777777" w:rsidR="004E6BD7" w:rsidRPr="000A1ACA" w:rsidRDefault="004E6BD7">
      <w:pPr>
        <w:spacing w:after="0" w:line="240" w:lineRule="auto"/>
        <w:rPr>
          <w:rFonts w:ascii="Aptos" w:hAnsi="Aptos" w:cs="Calibri"/>
          <w:b/>
          <w:bCs/>
          <w:color w:val="C00000"/>
          <w:lang w:val="en-GB"/>
        </w:rPr>
      </w:pPr>
    </w:p>
    <w:p w14:paraId="30F18A8B" w14:textId="77777777" w:rsidR="00D60911" w:rsidRPr="000A1ACA" w:rsidRDefault="00D60911" w:rsidP="00D60911">
      <w:pPr>
        <w:rPr>
          <w:rFonts w:ascii="Aptos" w:eastAsia="Times New Roman" w:hAnsi="Aptos" w:cs="Calibri"/>
          <w:b/>
          <w:lang w:val="en-US"/>
        </w:rPr>
      </w:pPr>
    </w:p>
    <w:p w14:paraId="0264A6BB" w14:textId="48599D3A" w:rsidR="00D60911" w:rsidRPr="000A1ACA" w:rsidRDefault="00D60911" w:rsidP="00D60911">
      <w:pPr>
        <w:rPr>
          <w:rFonts w:ascii="Aptos" w:hAnsi="Aptos"/>
          <w:lang w:val="en-US"/>
        </w:rPr>
      </w:pPr>
      <w:r w:rsidRPr="000A1ACA">
        <w:rPr>
          <w:rFonts w:ascii="Aptos" w:eastAsia="Times New Roman" w:hAnsi="Aptos" w:cs="Calibri"/>
          <w:b/>
          <w:lang w:val="en-US"/>
        </w:rPr>
        <w:lastRenderedPageBreak/>
        <w:t>Henrik SAUGMANDSGAARD</w:t>
      </w:r>
      <w:r w:rsidRPr="000A1ACA">
        <w:rPr>
          <w:rFonts w:ascii="Aptos" w:eastAsia="Times New Roman" w:hAnsi="Aptos" w:cs="Calibri"/>
          <w:lang w:val="en-US"/>
        </w:rPr>
        <w:t xml:space="preserve"> </w:t>
      </w:r>
      <w:r w:rsidRPr="000A1ACA">
        <w:rPr>
          <w:rFonts w:ascii="Aptos" w:eastAsia="Times New Roman" w:hAnsi="Aptos" w:cs="Calibri"/>
          <w:b/>
          <w:lang w:val="en-US"/>
        </w:rPr>
        <w:t>ØE</w:t>
      </w:r>
      <w:r w:rsidRPr="000A1ACA">
        <w:rPr>
          <w:rFonts w:ascii="Aptos" w:hAnsi="Aptos"/>
          <w:lang w:val="en-GB"/>
        </w:rPr>
        <w:t xml:space="preserve"> </w:t>
      </w:r>
    </w:p>
    <w:p w14:paraId="019B6982" w14:textId="77777777" w:rsidR="00D60911" w:rsidRPr="000A1ACA" w:rsidRDefault="00D60911" w:rsidP="00D60911">
      <w:pPr>
        <w:spacing w:after="0"/>
        <w:jc w:val="both"/>
        <w:rPr>
          <w:rFonts w:ascii="Aptos" w:hAnsi="Aptos"/>
          <w:lang w:val="en-GB"/>
        </w:rPr>
      </w:pPr>
      <w:r w:rsidRPr="000A1ACA">
        <w:rPr>
          <w:rFonts w:ascii="Aptos" w:hAnsi="Aptos"/>
          <w:lang w:val="en-GB"/>
        </w:rPr>
        <w:t>Henrik (former Advocate General at the Court of Justice of the European Union (the Court of Justice), today Partner at the Danish law firm, Gorrissen Federspiel) will illuminate the interplay between EU law and Private International Law in his presentation “</w:t>
      </w:r>
      <w:r w:rsidRPr="000A1ACA">
        <w:rPr>
          <w:rFonts w:ascii="Aptos" w:hAnsi="Aptos"/>
          <w:i/>
          <w:iCs/>
          <w:lang w:val="en-GB"/>
        </w:rPr>
        <w:t>The interpretation of Private International Law by the Court of Justice of the European Union, illustrated in recent judgments</w:t>
      </w:r>
      <w:r w:rsidRPr="000A1ACA">
        <w:rPr>
          <w:rFonts w:ascii="Aptos" w:hAnsi="Aptos"/>
          <w:lang w:val="en-GB"/>
        </w:rPr>
        <w:t xml:space="preserve">”. </w:t>
      </w:r>
    </w:p>
    <w:p w14:paraId="0C753353" w14:textId="77777777" w:rsidR="00F47655" w:rsidRPr="000A1ACA" w:rsidRDefault="00D60911" w:rsidP="00D60911">
      <w:pPr>
        <w:spacing w:after="0"/>
        <w:jc w:val="both"/>
        <w:rPr>
          <w:rFonts w:ascii="Aptos" w:hAnsi="Aptos"/>
          <w:lang w:val="en-GB"/>
        </w:rPr>
      </w:pPr>
      <w:r w:rsidRPr="000A1ACA">
        <w:rPr>
          <w:rFonts w:ascii="Aptos" w:hAnsi="Aptos"/>
          <w:lang w:val="en-GB"/>
        </w:rPr>
        <w:br/>
        <w:t xml:space="preserve">Focus will be on jurisdiction under the Bruxelles 1 bis Regulation (Regulation 1215/2012), </w:t>
      </w:r>
      <w:proofErr w:type="gramStart"/>
      <w:r w:rsidRPr="000A1ACA">
        <w:rPr>
          <w:rFonts w:ascii="Aptos" w:hAnsi="Aptos"/>
          <w:lang w:val="en-GB"/>
        </w:rPr>
        <w:t>in particular the</w:t>
      </w:r>
      <w:proofErr w:type="gramEnd"/>
      <w:r w:rsidRPr="000A1ACA">
        <w:rPr>
          <w:rFonts w:ascii="Aptos" w:hAnsi="Aptos"/>
          <w:lang w:val="en-GB"/>
        </w:rPr>
        <w:t xml:space="preserve"> distinction between ‘contractual’ and ‘tortious’ liability under Article 7(1) and (2), respectively. </w:t>
      </w:r>
      <w:r w:rsidRPr="000A1ACA">
        <w:rPr>
          <w:rFonts w:ascii="Aptos" w:hAnsi="Aptos"/>
          <w:lang w:val="en-US"/>
        </w:rPr>
        <w:br/>
      </w:r>
      <w:r w:rsidRPr="000A1ACA">
        <w:rPr>
          <w:rFonts w:ascii="Aptos" w:hAnsi="Aptos"/>
          <w:lang w:val="en-GB"/>
        </w:rPr>
        <w:t xml:space="preserve">In making this distinction, Mr Saugmandsgaard Øe will discuss the Court of Justice’s judgment of 24 November 2020 (C-59/19, </w:t>
      </w:r>
      <w:proofErr w:type="spellStart"/>
      <w:r w:rsidRPr="000A1ACA">
        <w:rPr>
          <w:rFonts w:ascii="Aptos" w:hAnsi="Aptos"/>
          <w:i/>
          <w:iCs/>
          <w:lang w:val="en-GB"/>
        </w:rPr>
        <w:t>Wikingerhof</w:t>
      </w:r>
      <w:proofErr w:type="spellEnd"/>
      <w:r w:rsidRPr="000A1ACA">
        <w:rPr>
          <w:rFonts w:ascii="Aptos" w:hAnsi="Aptos"/>
          <w:lang w:val="en-GB"/>
        </w:rPr>
        <w:t>) in which the Court of Justice settled the uncertainties of prior case-law as to whether ‘contractual’ liability supersedes ‘tortious’ liability (known as the ‘principle of non-cumulation’).</w:t>
      </w:r>
      <w:r w:rsidRPr="000A1ACA">
        <w:rPr>
          <w:rFonts w:ascii="Aptos" w:hAnsi="Aptos"/>
          <w:lang w:val="en-US"/>
        </w:rPr>
        <w:br/>
      </w:r>
      <w:r w:rsidRPr="000A1ACA">
        <w:rPr>
          <w:rFonts w:ascii="Aptos" w:hAnsi="Aptos"/>
          <w:lang w:val="en-GB"/>
        </w:rPr>
        <w:t xml:space="preserve">Furthermore, the difficulties of determining (and the importance of) jurisdiction will be illustrated via the Court of Justice’s judgments of 9 December 2021 (C-422/20, </w:t>
      </w:r>
      <w:r w:rsidRPr="000A1ACA">
        <w:rPr>
          <w:rFonts w:ascii="Aptos" w:hAnsi="Aptos"/>
          <w:i/>
          <w:iCs/>
          <w:lang w:val="en-US"/>
        </w:rPr>
        <w:t>HRVATSKE ŠUME</w:t>
      </w:r>
      <w:r w:rsidRPr="000A1ACA">
        <w:rPr>
          <w:rFonts w:ascii="Aptos" w:hAnsi="Aptos"/>
          <w:lang w:val="en-GB"/>
        </w:rPr>
        <w:t xml:space="preserve">) and 11 April 2019 (C-603/17, </w:t>
      </w:r>
      <w:r w:rsidRPr="000A1ACA">
        <w:rPr>
          <w:rFonts w:ascii="Aptos" w:hAnsi="Aptos"/>
          <w:i/>
          <w:iCs/>
          <w:lang w:val="en-GB"/>
        </w:rPr>
        <w:t>Bosworth and Hurley</w:t>
      </w:r>
      <w:r w:rsidRPr="000A1ACA">
        <w:rPr>
          <w:rFonts w:ascii="Aptos" w:hAnsi="Aptos"/>
          <w:lang w:val="en-GB"/>
        </w:rPr>
        <w:t>).</w:t>
      </w:r>
    </w:p>
    <w:p w14:paraId="2D9870BC" w14:textId="3AA2A3DD" w:rsidR="00D60911" w:rsidRPr="000A1ACA" w:rsidRDefault="00D60911" w:rsidP="00D60911">
      <w:pPr>
        <w:spacing w:after="0"/>
        <w:jc w:val="both"/>
        <w:rPr>
          <w:rFonts w:ascii="Aptos" w:hAnsi="Aptos"/>
          <w:lang w:val="en-US"/>
        </w:rPr>
      </w:pPr>
      <w:r w:rsidRPr="000A1ACA">
        <w:rPr>
          <w:rFonts w:ascii="Aptos" w:hAnsi="Aptos"/>
          <w:lang w:val="en-US"/>
        </w:rPr>
        <w:br/>
      </w:r>
      <w:r w:rsidRPr="000A1ACA">
        <w:rPr>
          <w:rFonts w:ascii="Aptos" w:hAnsi="Aptos"/>
          <w:lang w:val="en-GB"/>
        </w:rPr>
        <w:t>In closing, the Member States’ duty to request the Court of Justice for preliminary ruling when in doubt of the application of EU law will be explained to highlight the implications of failing to do so as well as the interplay between EU law and Private International Law.</w:t>
      </w:r>
    </w:p>
    <w:p w14:paraId="5E0FFBB7" w14:textId="77777777" w:rsidR="00A722EE" w:rsidRPr="000A1ACA" w:rsidRDefault="00A722EE">
      <w:pPr>
        <w:spacing w:after="0" w:line="240" w:lineRule="auto"/>
        <w:rPr>
          <w:rFonts w:ascii="Aptos" w:hAnsi="Aptos" w:cs="Calibri"/>
          <w:b/>
          <w:bCs/>
          <w:color w:val="C00000"/>
          <w:lang w:val="en-US"/>
        </w:rPr>
      </w:pPr>
    </w:p>
    <w:p w14:paraId="45C57A8D" w14:textId="77777777" w:rsidR="004E6BD7" w:rsidRPr="000A1ACA" w:rsidRDefault="004E6BD7">
      <w:pPr>
        <w:spacing w:after="0" w:line="240" w:lineRule="auto"/>
        <w:rPr>
          <w:rFonts w:ascii="Aptos" w:hAnsi="Aptos" w:cs="Calibri"/>
          <w:b/>
          <w:bCs/>
          <w:color w:val="C00000"/>
          <w:lang w:val="en-GB"/>
        </w:rPr>
      </w:pPr>
    </w:p>
    <w:p w14:paraId="2C57F1C6" w14:textId="77777777" w:rsidR="00A318EB" w:rsidRPr="000A1ACA" w:rsidRDefault="00A318EB">
      <w:pPr>
        <w:spacing w:after="0" w:line="240" w:lineRule="auto"/>
        <w:rPr>
          <w:rFonts w:ascii="Aptos" w:eastAsia="Times New Roman" w:hAnsi="Aptos" w:cs="Calibri"/>
          <w:b/>
          <w:lang w:val="en-GB"/>
        </w:rPr>
      </w:pPr>
    </w:p>
    <w:p w14:paraId="35F12086" w14:textId="0F89964E" w:rsidR="004E6BD7" w:rsidRPr="000A1ACA" w:rsidRDefault="003D1282">
      <w:pPr>
        <w:spacing w:after="0" w:line="240" w:lineRule="auto"/>
        <w:rPr>
          <w:rFonts w:ascii="Aptos" w:eastAsia="Times New Roman" w:hAnsi="Aptos" w:cs="Calibri"/>
          <w:b/>
          <w:lang w:val="en-GB"/>
        </w:rPr>
      </w:pPr>
      <w:r w:rsidRPr="000A1ACA">
        <w:rPr>
          <w:rFonts w:ascii="Aptos" w:eastAsia="Times New Roman" w:hAnsi="Aptos" w:cs="Calibri"/>
          <w:b/>
          <w:lang w:val="en-GB"/>
        </w:rPr>
        <w:t xml:space="preserve">Valesca R. B. MOSCHEN </w:t>
      </w:r>
      <w:r w:rsidRPr="000A1ACA">
        <w:rPr>
          <w:rFonts w:ascii="Aptos" w:eastAsia="Times New Roman" w:hAnsi="Aptos" w:cs="Calibri"/>
          <w:lang w:val="en-GB"/>
        </w:rPr>
        <w:t>and</w:t>
      </w:r>
      <w:r w:rsidRPr="000A1ACA">
        <w:rPr>
          <w:rFonts w:ascii="Aptos" w:eastAsia="Times New Roman" w:hAnsi="Aptos" w:cs="Calibri"/>
          <w:b/>
          <w:lang w:val="en-GB"/>
        </w:rPr>
        <w:t xml:space="preserve"> Isabela T. C. DONDONE</w:t>
      </w:r>
    </w:p>
    <w:p w14:paraId="689441B5" w14:textId="77777777" w:rsidR="003D1282" w:rsidRPr="000A1ACA" w:rsidRDefault="003D1282">
      <w:pPr>
        <w:spacing w:after="0" w:line="240" w:lineRule="auto"/>
        <w:rPr>
          <w:rFonts w:ascii="Aptos" w:eastAsia="Times New Roman" w:hAnsi="Aptos" w:cs="Calibri"/>
          <w:b/>
          <w:lang w:val="en-GB"/>
        </w:rPr>
      </w:pPr>
    </w:p>
    <w:p w14:paraId="6F32FA2C" w14:textId="77777777" w:rsidR="003D1282" w:rsidRPr="000A1ACA" w:rsidRDefault="003D1282" w:rsidP="003D1282">
      <w:pPr>
        <w:jc w:val="both"/>
        <w:rPr>
          <w:rFonts w:ascii="Aptos" w:eastAsia="Times New Roman" w:hAnsi="Aptos"/>
          <w:lang w:val="en-US"/>
        </w:rPr>
      </w:pPr>
      <w:r w:rsidRPr="000A1ACA">
        <w:rPr>
          <w:rFonts w:ascii="Aptos" w:eastAsia="Times New Roman" w:hAnsi="Aptos"/>
          <w:lang w:val="en-US"/>
        </w:rPr>
        <w:t xml:space="preserve">In 1975 the Organization of American States (OAS) General Assembly launched the first Specialized Conference on Private International Law (CIDIP). Despite not being the first measure of the OAS to codify Private International Law, 7 Conferences and 27 instruments later, CIDIPs provided a structured framework of Inter-American Private International Law (PIL), that addresses broad themes such as international civil procedure, commercial law and family protection. </w:t>
      </w:r>
    </w:p>
    <w:p w14:paraId="1EE55D0E" w14:textId="0647D6A8" w:rsidR="003D1282" w:rsidRPr="000A1ACA" w:rsidRDefault="003D1282" w:rsidP="003D1282">
      <w:pPr>
        <w:jc w:val="both"/>
        <w:rPr>
          <w:rFonts w:ascii="Aptos" w:eastAsia="Times New Roman" w:hAnsi="Aptos"/>
          <w:lang w:val="en-US"/>
        </w:rPr>
      </w:pPr>
      <w:r w:rsidRPr="000A1ACA">
        <w:rPr>
          <w:rFonts w:ascii="Aptos" w:eastAsia="Times New Roman" w:hAnsi="Aptos"/>
          <w:lang w:val="en-US"/>
        </w:rPr>
        <w:t>According to Fresnedo, the codification process within the framework of the CIDIPs resulted in multiple conventions, which suggests that the Conferences are an effective mechanism for codifying inter-American law, as can be seen from the number of Conventions approved</w:t>
      </w:r>
      <w:r w:rsidR="00F47655" w:rsidRPr="000A1ACA">
        <w:rPr>
          <w:rFonts w:ascii="Aptos" w:eastAsia="Times New Roman" w:hAnsi="Aptos"/>
          <w:lang w:val="en-US"/>
        </w:rPr>
        <w:t xml:space="preserve"> (C. F. AGUIRRE, </w:t>
      </w:r>
      <w:proofErr w:type="spellStart"/>
      <w:r w:rsidR="00F47655" w:rsidRPr="000A1ACA">
        <w:rPr>
          <w:rFonts w:ascii="Aptos" w:eastAsia="Times New Roman" w:hAnsi="Aptos"/>
          <w:lang w:val="en-US"/>
        </w:rPr>
        <w:t>Curso</w:t>
      </w:r>
      <w:proofErr w:type="spellEnd"/>
      <w:r w:rsidR="00F47655" w:rsidRPr="000A1ACA">
        <w:rPr>
          <w:rFonts w:ascii="Aptos" w:eastAsia="Times New Roman" w:hAnsi="Aptos"/>
          <w:i/>
          <w:lang w:val="en-US"/>
        </w:rPr>
        <w:t xml:space="preserve"> de Derecho Internacional Privado </w:t>
      </w:r>
      <w:r w:rsidR="00F47655" w:rsidRPr="000A1ACA">
        <w:rPr>
          <w:rFonts w:ascii="Aptos" w:eastAsia="Times New Roman" w:hAnsi="Aptos"/>
          <w:b/>
          <w:lang w:val="en-US"/>
        </w:rPr>
        <w:t>(</w:t>
      </w:r>
      <w:r w:rsidR="00F47655" w:rsidRPr="000A1ACA">
        <w:rPr>
          <w:rFonts w:ascii="Aptos" w:eastAsia="Times New Roman" w:hAnsi="Aptos"/>
          <w:lang w:val="en-US"/>
        </w:rPr>
        <w:t xml:space="preserve">Fundación Cultura </w:t>
      </w:r>
      <w:proofErr w:type="spellStart"/>
      <w:r w:rsidR="00F47655" w:rsidRPr="000A1ACA">
        <w:rPr>
          <w:rFonts w:ascii="Aptos" w:eastAsia="Times New Roman" w:hAnsi="Aptos"/>
          <w:lang w:val="en-US"/>
        </w:rPr>
        <w:t>Universitaria</w:t>
      </w:r>
      <w:proofErr w:type="spellEnd"/>
      <w:r w:rsidR="00F47655" w:rsidRPr="000A1ACA">
        <w:rPr>
          <w:rFonts w:ascii="Aptos" w:eastAsia="Times New Roman" w:hAnsi="Aptos"/>
          <w:lang w:val="en-US"/>
        </w:rPr>
        <w:t xml:space="preserve">, 2003), 153). </w:t>
      </w:r>
      <w:r w:rsidRPr="000A1ACA">
        <w:rPr>
          <w:rFonts w:ascii="Aptos" w:eastAsia="Times New Roman" w:hAnsi="Aptos"/>
          <w:lang w:val="en-US"/>
        </w:rPr>
        <w:t xml:space="preserve">In particular, the impact of the CIDIPs is notable in the Latin American region, especially in the first Conferences, which had contributions from intellectuals and experts of the region, classified by Arroyo </w:t>
      </w:r>
      <w:r w:rsidR="00F47655" w:rsidRPr="000A1ACA">
        <w:rPr>
          <w:rFonts w:ascii="Aptos" w:eastAsia="Times New Roman" w:hAnsi="Aptos"/>
          <w:lang w:val="en-US"/>
        </w:rPr>
        <w:t>(</w:t>
      </w:r>
      <w:r w:rsidR="00F47655" w:rsidRPr="000A1ACA">
        <w:rPr>
          <w:rFonts w:ascii="Aptos" w:eastAsia="Times New Roman" w:hAnsi="Aptos"/>
          <w:i/>
          <w:lang w:val="en-US"/>
        </w:rPr>
        <w:t xml:space="preserve">La </w:t>
      </w:r>
      <w:proofErr w:type="spellStart"/>
      <w:r w:rsidR="00F47655" w:rsidRPr="000A1ACA">
        <w:rPr>
          <w:rFonts w:ascii="Aptos" w:eastAsia="Times New Roman" w:hAnsi="Aptos"/>
          <w:i/>
          <w:lang w:val="en-US"/>
        </w:rPr>
        <w:t>Codificación</w:t>
      </w:r>
      <w:proofErr w:type="spellEnd"/>
      <w:r w:rsidR="00F47655" w:rsidRPr="000A1ACA">
        <w:rPr>
          <w:rFonts w:ascii="Aptos" w:eastAsia="Times New Roman" w:hAnsi="Aptos"/>
          <w:i/>
          <w:lang w:val="en-US"/>
        </w:rPr>
        <w:t xml:space="preserve"> del derecho </w:t>
      </w:r>
      <w:proofErr w:type="spellStart"/>
      <w:r w:rsidR="00F47655" w:rsidRPr="000A1ACA">
        <w:rPr>
          <w:rFonts w:ascii="Aptos" w:eastAsia="Times New Roman" w:hAnsi="Aptos"/>
          <w:i/>
          <w:lang w:val="en-US"/>
        </w:rPr>
        <w:t>internacional</w:t>
      </w:r>
      <w:proofErr w:type="spellEnd"/>
      <w:r w:rsidR="00F47655" w:rsidRPr="000A1ACA">
        <w:rPr>
          <w:rFonts w:ascii="Aptos" w:eastAsia="Times New Roman" w:hAnsi="Aptos"/>
          <w:i/>
          <w:lang w:val="en-US"/>
        </w:rPr>
        <w:t xml:space="preserve"> privado </w:t>
      </w:r>
      <w:proofErr w:type="spellStart"/>
      <w:r w:rsidR="00F47655" w:rsidRPr="000A1ACA">
        <w:rPr>
          <w:rFonts w:ascii="Aptos" w:eastAsia="Times New Roman" w:hAnsi="Aptos"/>
          <w:i/>
          <w:lang w:val="en-US"/>
        </w:rPr>
        <w:t>en</w:t>
      </w:r>
      <w:proofErr w:type="spellEnd"/>
      <w:r w:rsidR="00F47655" w:rsidRPr="000A1ACA">
        <w:rPr>
          <w:rFonts w:ascii="Aptos" w:eastAsia="Times New Roman" w:hAnsi="Aptos"/>
          <w:i/>
          <w:lang w:val="en-US"/>
        </w:rPr>
        <w:t xml:space="preserve"> </w:t>
      </w:r>
      <w:proofErr w:type="spellStart"/>
      <w:r w:rsidR="00F47655" w:rsidRPr="000A1ACA">
        <w:rPr>
          <w:rFonts w:ascii="Aptos" w:eastAsia="Times New Roman" w:hAnsi="Aptos"/>
          <w:i/>
          <w:lang w:val="en-US"/>
        </w:rPr>
        <w:t>Amrica</w:t>
      </w:r>
      <w:proofErr w:type="spellEnd"/>
      <w:r w:rsidR="00F47655" w:rsidRPr="000A1ACA">
        <w:rPr>
          <w:rFonts w:ascii="Aptos" w:eastAsia="Times New Roman" w:hAnsi="Aptos"/>
          <w:i/>
          <w:lang w:val="en-US"/>
        </w:rPr>
        <w:t xml:space="preserve"> Latina</w:t>
      </w:r>
      <w:r w:rsidR="00F47655" w:rsidRPr="000A1ACA">
        <w:rPr>
          <w:rFonts w:ascii="Aptos" w:eastAsia="Times New Roman" w:hAnsi="Aptos"/>
          <w:lang w:val="en-US"/>
        </w:rPr>
        <w:t xml:space="preserve">, (EUROLEX, 1994) 142) </w:t>
      </w:r>
      <w:r w:rsidRPr="000A1ACA">
        <w:rPr>
          <w:rFonts w:ascii="Aptos" w:eastAsia="Times New Roman" w:hAnsi="Aptos"/>
          <w:lang w:val="en-US"/>
        </w:rPr>
        <w:t xml:space="preserve">as a “teaching content”. </w:t>
      </w:r>
    </w:p>
    <w:p w14:paraId="1D24C001" w14:textId="1F42AE1C" w:rsidR="003D1282" w:rsidRPr="000A1ACA" w:rsidRDefault="003D1282" w:rsidP="003D1282">
      <w:pPr>
        <w:jc w:val="both"/>
        <w:rPr>
          <w:rFonts w:ascii="Aptos" w:eastAsia="Times New Roman" w:hAnsi="Aptos"/>
          <w:lang w:val="en-US"/>
        </w:rPr>
      </w:pPr>
      <w:r w:rsidRPr="000A1ACA">
        <w:rPr>
          <w:rFonts w:ascii="Aptos" w:eastAsia="Times New Roman" w:hAnsi="Aptos"/>
          <w:lang w:val="en-US"/>
        </w:rPr>
        <w:t xml:space="preserve">In Brazil, the relationship with the CIDIPs was ambiguous, especially in the first four editions, when notable experts were sent to represent the country, such as Haroldo </w:t>
      </w:r>
      <w:proofErr w:type="spellStart"/>
      <w:r w:rsidRPr="000A1ACA">
        <w:rPr>
          <w:rFonts w:ascii="Aptos" w:eastAsia="Times New Roman" w:hAnsi="Aptos"/>
          <w:lang w:val="en-US"/>
        </w:rPr>
        <w:t>Valladão</w:t>
      </w:r>
      <w:proofErr w:type="spellEnd"/>
      <w:r w:rsidRPr="000A1ACA">
        <w:rPr>
          <w:rFonts w:ascii="Aptos" w:eastAsia="Times New Roman" w:hAnsi="Aptos"/>
          <w:lang w:val="en-US"/>
        </w:rPr>
        <w:t xml:space="preserve"> (CIDIP-I and II), Antônio Augusto Cançado Trindade and Anna Maria Villela (CIDIP-III). As a result, Brazil has signed almost all the conventions, although it had not ratified any at the time</w:t>
      </w:r>
      <w:r w:rsidR="00F47655" w:rsidRPr="000A1ACA">
        <w:rPr>
          <w:rFonts w:ascii="Aptos" w:eastAsia="Times New Roman" w:hAnsi="Aptos"/>
          <w:lang w:val="en-US"/>
        </w:rPr>
        <w:t xml:space="preserve"> (J.A SAMTLEBEN, </w:t>
      </w:r>
      <w:proofErr w:type="spellStart"/>
      <w:r w:rsidR="00F47655" w:rsidRPr="000A1ACA">
        <w:rPr>
          <w:rFonts w:ascii="Aptos" w:eastAsia="Times New Roman" w:hAnsi="Aptos"/>
          <w:i/>
          <w:lang w:val="en-US"/>
        </w:rPr>
        <w:t>Codificação</w:t>
      </w:r>
      <w:proofErr w:type="spellEnd"/>
      <w:r w:rsidR="00F47655" w:rsidRPr="000A1ACA">
        <w:rPr>
          <w:rFonts w:ascii="Aptos" w:eastAsia="Times New Roman" w:hAnsi="Aptos"/>
          <w:i/>
          <w:lang w:val="en-US"/>
        </w:rPr>
        <w:t xml:space="preserve"> Interamericana do </w:t>
      </w:r>
      <w:proofErr w:type="spellStart"/>
      <w:r w:rsidR="00F47655" w:rsidRPr="000A1ACA">
        <w:rPr>
          <w:rFonts w:ascii="Aptos" w:eastAsia="Times New Roman" w:hAnsi="Aptos"/>
          <w:i/>
          <w:lang w:val="en-US"/>
        </w:rPr>
        <w:t>Direito</w:t>
      </w:r>
      <w:proofErr w:type="spellEnd"/>
      <w:r w:rsidR="00F47655" w:rsidRPr="000A1ACA">
        <w:rPr>
          <w:rFonts w:ascii="Aptos" w:eastAsia="Times New Roman" w:hAnsi="Aptos"/>
          <w:i/>
          <w:lang w:val="en-US"/>
        </w:rPr>
        <w:t xml:space="preserve"> Internacional Privado no </w:t>
      </w:r>
      <w:proofErr w:type="spellStart"/>
      <w:r w:rsidR="00F47655" w:rsidRPr="000A1ACA">
        <w:rPr>
          <w:rFonts w:ascii="Aptos" w:eastAsia="Times New Roman" w:hAnsi="Aptos"/>
          <w:i/>
          <w:lang w:val="en-US"/>
        </w:rPr>
        <w:t>Brasi</w:t>
      </w:r>
      <w:r w:rsidR="00F47655" w:rsidRPr="000A1ACA">
        <w:rPr>
          <w:rFonts w:ascii="Aptos" w:eastAsia="Times New Roman" w:hAnsi="Aptos"/>
          <w:lang w:val="en-US"/>
        </w:rPr>
        <w:t>l</w:t>
      </w:r>
      <w:proofErr w:type="spellEnd"/>
      <w:r w:rsidR="00F47655" w:rsidRPr="000A1ACA">
        <w:rPr>
          <w:rFonts w:ascii="Aptos" w:eastAsia="Times New Roman" w:hAnsi="Aptos"/>
          <w:lang w:val="en-US"/>
        </w:rPr>
        <w:t xml:space="preserve">, in P. BCASELLA; N. AARAUJO (d.). </w:t>
      </w:r>
      <w:proofErr w:type="spellStart"/>
      <w:r w:rsidR="00F47655" w:rsidRPr="000A1ACA">
        <w:rPr>
          <w:rFonts w:ascii="Aptos" w:eastAsia="Times New Roman" w:hAnsi="Aptos"/>
          <w:lang w:val="es-ES"/>
        </w:rPr>
        <w:t>Integração</w:t>
      </w:r>
      <w:proofErr w:type="spellEnd"/>
      <w:r w:rsidR="00F47655" w:rsidRPr="000A1ACA">
        <w:rPr>
          <w:rFonts w:ascii="Aptos" w:eastAsia="Times New Roman" w:hAnsi="Aptos"/>
          <w:lang w:val="es-ES"/>
        </w:rPr>
        <w:t xml:space="preserve"> jurídica interamericana: as </w:t>
      </w:r>
      <w:proofErr w:type="spellStart"/>
      <w:r w:rsidR="00F47655" w:rsidRPr="000A1ACA">
        <w:rPr>
          <w:rFonts w:ascii="Aptos" w:eastAsia="Times New Roman" w:hAnsi="Aptos"/>
          <w:lang w:val="es-ES"/>
        </w:rPr>
        <w:t>Convenções</w:t>
      </w:r>
      <w:proofErr w:type="spellEnd"/>
      <w:r w:rsidR="00F47655" w:rsidRPr="000A1ACA">
        <w:rPr>
          <w:rFonts w:ascii="Aptos" w:eastAsia="Times New Roman" w:hAnsi="Aptos"/>
          <w:lang w:val="es-ES"/>
        </w:rPr>
        <w:t xml:space="preserve"> Interamericanas de </w:t>
      </w:r>
      <w:proofErr w:type="spellStart"/>
      <w:r w:rsidR="00F47655" w:rsidRPr="000A1ACA">
        <w:rPr>
          <w:rFonts w:ascii="Aptos" w:eastAsia="Times New Roman" w:hAnsi="Aptos"/>
          <w:lang w:val="es-ES"/>
        </w:rPr>
        <w:t>Direito</w:t>
      </w:r>
      <w:proofErr w:type="spellEnd"/>
      <w:r w:rsidR="00F47655" w:rsidRPr="000A1ACA">
        <w:rPr>
          <w:rFonts w:ascii="Aptos" w:eastAsia="Times New Roman" w:hAnsi="Aptos"/>
          <w:lang w:val="es-ES"/>
        </w:rPr>
        <w:t xml:space="preserve"> Internacional Privado (CIDIPS) e o </w:t>
      </w:r>
      <w:proofErr w:type="spellStart"/>
      <w:r w:rsidR="00F47655" w:rsidRPr="000A1ACA">
        <w:rPr>
          <w:rFonts w:ascii="Aptos" w:eastAsia="Times New Roman" w:hAnsi="Aptos"/>
          <w:lang w:val="es-ES"/>
        </w:rPr>
        <w:t>direito</w:t>
      </w:r>
      <w:proofErr w:type="spellEnd"/>
      <w:r w:rsidR="00F47655" w:rsidRPr="000A1ACA">
        <w:rPr>
          <w:rFonts w:ascii="Aptos" w:eastAsia="Times New Roman" w:hAnsi="Aptos"/>
          <w:lang w:val="es-ES"/>
        </w:rPr>
        <w:t xml:space="preserve"> brasileiro. (São Paulo: </w:t>
      </w:r>
      <w:proofErr w:type="spellStart"/>
      <w:r w:rsidR="00F47655" w:rsidRPr="000A1ACA">
        <w:rPr>
          <w:rFonts w:ascii="Aptos" w:eastAsia="Times New Roman" w:hAnsi="Aptos"/>
          <w:lang w:val="es-ES"/>
        </w:rPr>
        <w:t>Ltr</w:t>
      </w:r>
      <w:proofErr w:type="spellEnd"/>
      <w:r w:rsidR="00F47655" w:rsidRPr="000A1ACA">
        <w:rPr>
          <w:rFonts w:ascii="Aptos" w:eastAsia="Times New Roman" w:hAnsi="Aptos"/>
          <w:lang w:val="es-ES"/>
        </w:rPr>
        <w:t>, 1998), 41-42)</w:t>
      </w:r>
      <w:r w:rsidRPr="000A1ACA">
        <w:rPr>
          <w:rFonts w:ascii="Aptos" w:eastAsia="Times New Roman" w:hAnsi="Aptos"/>
          <w:lang w:val="en-US"/>
        </w:rPr>
        <w:t>. It was only in the 1990s that the signed conventions began the ratification process, with 15 conventions ratified to date.</w:t>
      </w:r>
    </w:p>
    <w:p w14:paraId="1BBC925D" w14:textId="34E88C3F" w:rsidR="003D1282" w:rsidRPr="000A1ACA" w:rsidRDefault="003D1282" w:rsidP="003D1282">
      <w:pPr>
        <w:jc w:val="both"/>
        <w:rPr>
          <w:rFonts w:ascii="Aptos" w:eastAsia="Times New Roman" w:hAnsi="Aptos"/>
          <w:lang w:val="en-US"/>
        </w:rPr>
      </w:pPr>
      <w:r w:rsidRPr="000A1ACA">
        <w:rPr>
          <w:rFonts w:ascii="Aptos" w:eastAsia="Times New Roman" w:hAnsi="Aptos"/>
          <w:lang w:val="en-US"/>
        </w:rPr>
        <w:lastRenderedPageBreak/>
        <w:t>The relevance of CIDIPs in Brazil remains controversial, wherea</w:t>
      </w:r>
      <w:r w:rsidRPr="000A1ACA">
        <w:rPr>
          <w:rFonts w:ascii="Aptos" w:hAnsi="Aptos"/>
          <w:lang w:val="en-US"/>
        </w:rPr>
        <w:t>s</w:t>
      </w:r>
      <w:r w:rsidRPr="000A1ACA">
        <w:rPr>
          <w:rFonts w:ascii="Aptos" w:eastAsia="Times New Roman" w:hAnsi="Aptos"/>
          <w:lang w:val="en-US"/>
        </w:rPr>
        <w:t xml:space="preserve"> the Brazilian authorities have given more attention to the agenda of the Hague Conference on Private International Law </w:t>
      </w:r>
      <w:r w:rsidR="00F47655" w:rsidRPr="000A1ACA">
        <w:rPr>
          <w:rFonts w:ascii="Aptos" w:eastAsia="Times New Roman" w:hAnsi="Aptos"/>
          <w:lang w:val="en-US"/>
        </w:rPr>
        <w:t xml:space="preserve">(D. T. Vargas, </w:t>
      </w:r>
      <w:proofErr w:type="spellStart"/>
      <w:r w:rsidR="00F47655" w:rsidRPr="000A1ACA">
        <w:rPr>
          <w:rFonts w:ascii="Aptos" w:eastAsia="Times New Roman" w:hAnsi="Aptos"/>
          <w:i/>
          <w:lang w:val="en-US"/>
        </w:rPr>
        <w:t>Convenções</w:t>
      </w:r>
      <w:proofErr w:type="spellEnd"/>
      <w:r w:rsidR="00F47655" w:rsidRPr="000A1ACA">
        <w:rPr>
          <w:rFonts w:ascii="Aptos" w:eastAsia="Times New Roman" w:hAnsi="Aptos"/>
          <w:i/>
          <w:lang w:val="en-US"/>
        </w:rPr>
        <w:t xml:space="preserve"> das CIDIPs </w:t>
      </w:r>
      <w:proofErr w:type="spellStart"/>
      <w:r w:rsidR="00F47655" w:rsidRPr="000A1ACA">
        <w:rPr>
          <w:rFonts w:ascii="Aptos" w:eastAsia="Times New Roman" w:hAnsi="Aptos"/>
          <w:i/>
          <w:lang w:val="en-US"/>
        </w:rPr>
        <w:t>nos</w:t>
      </w:r>
      <w:proofErr w:type="spellEnd"/>
      <w:r w:rsidR="00F47655" w:rsidRPr="000A1ACA">
        <w:rPr>
          <w:rFonts w:ascii="Aptos" w:eastAsia="Times New Roman" w:hAnsi="Aptos"/>
          <w:i/>
          <w:lang w:val="en-US"/>
        </w:rPr>
        <w:t xml:space="preserve"> </w:t>
      </w:r>
      <w:proofErr w:type="spellStart"/>
      <w:r w:rsidR="00F47655" w:rsidRPr="000A1ACA">
        <w:rPr>
          <w:rFonts w:ascii="Aptos" w:eastAsia="Times New Roman" w:hAnsi="Aptos"/>
          <w:i/>
          <w:lang w:val="en-US"/>
        </w:rPr>
        <w:t>tribunais</w:t>
      </w:r>
      <w:proofErr w:type="spellEnd"/>
      <w:r w:rsidR="00F47655" w:rsidRPr="000A1ACA">
        <w:rPr>
          <w:rFonts w:ascii="Aptos" w:eastAsia="Times New Roman" w:hAnsi="Aptos"/>
          <w:i/>
          <w:lang w:val="en-US"/>
        </w:rPr>
        <w:t xml:space="preserve"> </w:t>
      </w:r>
      <w:proofErr w:type="spellStart"/>
      <w:r w:rsidR="00F47655" w:rsidRPr="000A1ACA">
        <w:rPr>
          <w:rFonts w:ascii="Aptos" w:eastAsia="Times New Roman" w:hAnsi="Aptos"/>
          <w:i/>
          <w:lang w:val="en-US"/>
        </w:rPr>
        <w:t>superiores</w:t>
      </w:r>
      <w:proofErr w:type="spellEnd"/>
      <w:r w:rsidR="00F47655" w:rsidRPr="000A1ACA">
        <w:rPr>
          <w:rFonts w:ascii="Aptos" w:eastAsia="Times New Roman" w:hAnsi="Aptos"/>
          <w:i/>
          <w:lang w:val="en-US"/>
        </w:rPr>
        <w:t xml:space="preserve"> </w:t>
      </w:r>
      <w:proofErr w:type="spellStart"/>
      <w:r w:rsidR="00F47655" w:rsidRPr="000A1ACA">
        <w:rPr>
          <w:rFonts w:ascii="Aptos" w:eastAsia="Times New Roman" w:hAnsi="Aptos"/>
          <w:i/>
          <w:lang w:val="en-US"/>
        </w:rPr>
        <w:t>brasileiros</w:t>
      </w:r>
      <w:proofErr w:type="spellEnd"/>
      <w:r w:rsidR="00F47655" w:rsidRPr="000A1ACA">
        <w:rPr>
          <w:rFonts w:ascii="Aptos" w:eastAsia="Times New Roman" w:hAnsi="Aptos"/>
          <w:i/>
          <w:lang w:val="en-US"/>
        </w:rPr>
        <w:t xml:space="preserve">: as </w:t>
      </w:r>
      <w:proofErr w:type="spellStart"/>
      <w:r w:rsidR="00F47655" w:rsidRPr="000A1ACA">
        <w:rPr>
          <w:rFonts w:ascii="Aptos" w:eastAsia="Times New Roman" w:hAnsi="Aptos"/>
          <w:i/>
          <w:lang w:val="en-US"/>
        </w:rPr>
        <w:t>populares</w:t>
      </w:r>
      <w:proofErr w:type="spellEnd"/>
      <w:r w:rsidR="00F47655" w:rsidRPr="000A1ACA">
        <w:rPr>
          <w:rFonts w:ascii="Aptos" w:eastAsia="Times New Roman" w:hAnsi="Aptos"/>
          <w:i/>
          <w:lang w:val="en-US"/>
        </w:rPr>
        <w:t xml:space="preserve">, as </w:t>
      </w:r>
      <w:proofErr w:type="spellStart"/>
      <w:r w:rsidR="00F47655" w:rsidRPr="000A1ACA">
        <w:rPr>
          <w:rFonts w:ascii="Aptos" w:eastAsia="Times New Roman" w:hAnsi="Aptos"/>
          <w:i/>
          <w:lang w:val="en-US"/>
        </w:rPr>
        <w:t>conhecidas</w:t>
      </w:r>
      <w:proofErr w:type="spellEnd"/>
      <w:r w:rsidR="00F47655" w:rsidRPr="000A1ACA">
        <w:rPr>
          <w:rFonts w:ascii="Aptos" w:eastAsia="Times New Roman" w:hAnsi="Aptos"/>
          <w:i/>
          <w:lang w:val="en-US"/>
        </w:rPr>
        <w:t xml:space="preserve"> e as </w:t>
      </w:r>
      <w:proofErr w:type="spellStart"/>
      <w:r w:rsidR="00F47655" w:rsidRPr="000A1ACA">
        <w:rPr>
          <w:rFonts w:ascii="Aptos" w:eastAsia="Times New Roman" w:hAnsi="Aptos"/>
          <w:i/>
          <w:lang w:val="en-US"/>
        </w:rPr>
        <w:t>ignoradas</w:t>
      </w:r>
      <w:proofErr w:type="spellEnd"/>
      <w:r w:rsidR="00F47655" w:rsidRPr="000A1ACA">
        <w:rPr>
          <w:rFonts w:ascii="Aptos" w:eastAsia="Times New Roman" w:hAnsi="Aptos"/>
          <w:i/>
          <w:lang w:val="en-US"/>
        </w:rPr>
        <w:t xml:space="preserve">, </w:t>
      </w:r>
      <w:r w:rsidR="00F47655" w:rsidRPr="000A1ACA">
        <w:rPr>
          <w:rFonts w:ascii="Aptos" w:eastAsia="Times New Roman" w:hAnsi="Aptos"/>
          <w:lang w:val="en-US"/>
        </w:rPr>
        <w:t xml:space="preserve">in P. M. ALL (ed.) </w:t>
      </w:r>
      <w:r w:rsidR="00F47655" w:rsidRPr="000A1ACA">
        <w:rPr>
          <w:rFonts w:ascii="Aptos" w:eastAsia="Times New Roman" w:hAnsi="Aptos"/>
          <w:lang w:val="es-ES"/>
        </w:rPr>
        <w:t xml:space="preserve">CIDIP-OEA: influencia y aplicación en los ordenamientos jurídicos interamericano (Santa </w:t>
      </w:r>
      <w:proofErr w:type="spellStart"/>
      <w:r w:rsidR="00F47655" w:rsidRPr="000A1ACA">
        <w:rPr>
          <w:rFonts w:ascii="Aptos" w:eastAsia="Times New Roman" w:hAnsi="Aptos"/>
          <w:lang w:val="es-ES"/>
        </w:rPr>
        <w:t>Fé</w:t>
      </w:r>
      <w:proofErr w:type="spellEnd"/>
      <w:r w:rsidR="00F47655" w:rsidRPr="000A1ACA">
        <w:rPr>
          <w:rFonts w:ascii="Aptos" w:eastAsia="Times New Roman" w:hAnsi="Aptos"/>
          <w:lang w:val="es-ES"/>
        </w:rPr>
        <w:t>, 2024) 179)</w:t>
      </w:r>
      <w:r w:rsidRPr="000A1ACA">
        <w:rPr>
          <w:rFonts w:ascii="Aptos" w:eastAsia="Times New Roman" w:hAnsi="Aptos"/>
          <w:lang w:val="es-ES"/>
        </w:rPr>
        <w:t xml:space="preserve">. </w:t>
      </w:r>
      <w:r w:rsidRPr="000A1ACA">
        <w:rPr>
          <w:rFonts w:ascii="Aptos" w:eastAsia="Times New Roman" w:hAnsi="Aptos"/>
          <w:lang w:val="en-US"/>
        </w:rPr>
        <w:t xml:space="preserve">In addition, the relevance of CIDIPs in the regional context overall is questioned. Over 10 years have passed since the last CIDIP and 26 years since the last Convention was adopted. In addition, </w:t>
      </w:r>
      <w:r w:rsidR="00F47655" w:rsidRPr="000A1ACA">
        <w:rPr>
          <w:rFonts w:ascii="Aptos" w:eastAsia="Times New Roman" w:hAnsi="Aptos"/>
          <w:lang w:val="en-US"/>
        </w:rPr>
        <w:t>the model</w:t>
      </w:r>
      <w:r w:rsidRPr="000A1ACA">
        <w:rPr>
          <w:rFonts w:ascii="Aptos" w:eastAsia="Times New Roman" w:hAnsi="Aptos"/>
          <w:lang w:val="en-US"/>
        </w:rPr>
        <w:t xml:space="preserve"> of codification of CIDIPs has proved difficult to sustain. </w:t>
      </w:r>
    </w:p>
    <w:p w14:paraId="2C47C730" w14:textId="77777777" w:rsidR="003D1282" w:rsidRPr="000A1ACA" w:rsidRDefault="003D1282" w:rsidP="003D1282">
      <w:pPr>
        <w:jc w:val="both"/>
        <w:rPr>
          <w:rFonts w:ascii="Aptos" w:eastAsia="Times New Roman" w:hAnsi="Aptos"/>
          <w:lang w:val="en-US"/>
        </w:rPr>
      </w:pPr>
      <w:r w:rsidRPr="000A1ACA">
        <w:rPr>
          <w:rFonts w:ascii="Aptos" w:eastAsia="Times New Roman" w:hAnsi="Aptos"/>
          <w:lang w:val="en-US"/>
        </w:rPr>
        <w:t>Therefore, this paper aims to analyze the impact of the CIDIPs on the Brazilian legal system and the role of Brazilian courts in shaping this regional framework. Based on a qualitative-quantitative approach, the study draws on the analysis of 35 judicial decisions from various Brazilian courts, collected by the Jurisprudence Observatory of the LABCODEX Research Group (</w:t>
      </w:r>
      <w:proofErr w:type="spellStart"/>
      <w:r w:rsidRPr="000A1ACA">
        <w:rPr>
          <w:rFonts w:ascii="Aptos" w:eastAsia="Times New Roman" w:hAnsi="Aptos"/>
          <w:lang w:val="en-US"/>
        </w:rPr>
        <w:t>CNPq</w:t>
      </w:r>
      <w:proofErr w:type="spellEnd"/>
      <w:r w:rsidRPr="000A1ACA">
        <w:rPr>
          <w:rFonts w:ascii="Aptos" w:eastAsia="Times New Roman" w:hAnsi="Aptos"/>
          <w:lang w:val="en-US"/>
        </w:rPr>
        <w:t xml:space="preserve">) between 2020 and 2025. By examining these decisions, the research seeks to assess the influence of the CIDIPs on the resolution of cross-border disputes in Brazil and to outline future perspectives—particularly their impact on the Draft Bill of the Brazilian General Law on Private International Law. </w:t>
      </w:r>
    </w:p>
    <w:p w14:paraId="46293591" w14:textId="77777777" w:rsidR="003644BA" w:rsidRPr="000A1ACA" w:rsidRDefault="003644BA" w:rsidP="003D1282">
      <w:pPr>
        <w:spacing w:after="0" w:line="240" w:lineRule="auto"/>
        <w:rPr>
          <w:rFonts w:ascii="Aptos" w:hAnsi="Aptos" w:cs="Calibri"/>
          <w:lang w:val="en-CA"/>
        </w:rPr>
      </w:pPr>
    </w:p>
    <w:p w14:paraId="1E53AEBF" w14:textId="77777777" w:rsidR="004A01A8" w:rsidRPr="000A1ACA" w:rsidRDefault="004A01A8" w:rsidP="003D1282">
      <w:pPr>
        <w:spacing w:after="0" w:line="240" w:lineRule="auto"/>
        <w:jc w:val="both"/>
        <w:rPr>
          <w:rFonts w:ascii="Aptos" w:hAnsi="Aptos" w:cs="Calibri"/>
          <w:lang w:val="en-CA"/>
        </w:rPr>
      </w:pPr>
    </w:p>
    <w:p w14:paraId="08FB849E" w14:textId="11427C41" w:rsidR="004A01A8" w:rsidRPr="000A1ACA" w:rsidRDefault="004A01A8" w:rsidP="003D1282">
      <w:pPr>
        <w:spacing w:after="0" w:line="240" w:lineRule="auto"/>
        <w:jc w:val="both"/>
        <w:rPr>
          <w:rFonts w:ascii="Aptos" w:hAnsi="Aptos" w:cs="Calibri"/>
          <w:b/>
          <w:bCs/>
          <w:lang w:val="en-CA"/>
        </w:rPr>
      </w:pPr>
      <w:r w:rsidRPr="000A1ACA">
        <w:rPr>
          <w:rFonts w:ascii="Aptos" w:hAnsi="Aptos" w:cs="Calibri"/>
          <w:b/>
          <w:bCs/>
          <w:lang w:val="en-CA"/>
        </w:rPr>
        <w:t>Asya OSTROUKH</w:t>
      </w:r>
    </w:p>
    <w:p w14:paraId="70ADCB24" w14:textId="77777777" w:rsidR="004A01A8" w:rsidRPr="000A1ACA" w:rsidRDefault="004A01A8" w:rsidP="003D1282">
      <w:pPr>
        <w:spacing w:after="0" w:line="240" w:lineRule="auto"/>
        <w:jc w:val="both"/>
        <w:rPr>
          <w:rFonts w:ascii="Aptos" w:hAnsi="Aptos" w:cs="Calibri"/>
          <w:lang w:val="en-CA"/>
        </w:rPr>
      </w:pPr>
    </w:p>
    <w:p w14:paraId="64C1B6CE" w14:textId="77777777" w:rsidR="00AB423A" w:rsidRPr="000A1ACA" w:rsidRDefault="003D1282" w:rsidP="00AB423A">
      <w:pPr>
        <w:jc w:val="both"/>
        <w:rPr>
          <w:rFonts w:ascii="Aptos" w:eastAsia="Times New Roman" w:hAnsi="Aptos"/>
          <w:lang w:val="en-US"/>
        </w:rPr>
      </w:pPr>
      <w:r w:rsidRPr="000A1ACA">
        <w:rPr>
          <w:rFonts w:ascii="Aptos" w:hAnsi="Aptos" w:cs="Calibri"/>
          <w:lang w:val="en-CA"/>
        </w:rPr>
        <w:t>This presentation examines the still-nascent contribution of the Caribbean Court of Justice (CCJ) to the development of private international law in the Caribbean region. While the CCJ was established in 2005 with the dual mandate of serving both as a treaty court (in its original jurisdiction) and as a final appellate court for several Member States, its jurisprudence has so far developed predominantly in the domains of public international law, constitutional law, human rights and regional integration law, rather than in the classical sphere of conflict of laws. After twenty years of operation, unfortunately, the CCJ has not delivered a single pure private international law decision—that is, one addressing directly choice of law, inter-state jurisdiction, or recognition of foreign judgments. Nevertheless, the Court remains capable of advancing private international law through two complementary functions: adjudication and harmonization.</w:t>
      </w:r>
    </w:p>
    <w:p w14:paraId="62974338" w14:textId="77777777" w:rsidR="00AB423A" w:rsidRPr="000A1ACA" w:rsidRDefault="003D1282" w:rsidP="00AB423A">
      <w:pPr>
        <w:jc w:val="both"/>
        <w:rPr>
          <w:rFonts w:ascii="Aptos" w:eastAsia="Times New Roman" w:hAnsi="Aptos"/>
          <w:lang w:val="en-US"/>
        </w:rPr>
      </w:pPr>
      <w:r w:rsidRPr="000A1ACA">
        <w:rPr>
          <w:rFonts w:ascii="Aptos" w:hAnsi="Aptos" w:cs="Calibri"/>
          <w:lang w:val="en-CA"/>
        </w:rPr>
        <w:t>The paper situates the CCJ within the broader landscape of Commonwealth Caribbean supranational courts, including the Judicial Committee of the Privy Council and the Eastern Caribbean Supreme Court, and asks whether the CCJ can evolve into a regional court of private international law. It argues that, despite the absence of an explicit private international law mandate in the Agreement Establishing the CCJ, the Court nonetheless contributes indirectly to the harmonization of private-law rules—particularly through its interpretation of the Revised Treaty of Chaguaramas and the consolidation of commercial law principles under the Caribbean Single Market and Economy (CSME).</w:t>
      </w:r>
    </w:p>
    <w:p w14:paraId="7800A9ED" w14:textId="77777777" w:rsidR="00AB423A" w:rsidRPr="000A1ACA" w:rsidRDefault="003D1282" w:rsidP="00AB423A">
      <w:pPr>
        <w:jc w:val="both"/>
        <w:rPr>
          <w:rFonts w:ascii="Aptos" w:eastAsia="Times New Roman" w:hAnsi="Aptos"/>
          <w:lang w:val="en-US"/>
        </w:rPr>
      </w:pPr>
      <w:r w:rsidRPr="000A1ACA">
        <w:rPr>
          <w:rFonts w:ascii="Aptos" w:hAnsi="Aptos" w:cs="Calibri"/>
          <w:lang w:val="en-CA"/>
        </w:rPr>
        <w:t>Two distinct lines of cases are explored:</w:t>
      </w:r>
    </w:p>
    <w:p w14:paraId="6F48317A" w14:textId="77777777" w:rsidR="00AB423A" w:rsidRPr="000A1ACA" w:rsidRDefault="003D1282" w:rsidP="00AB423A">
      <w:pPr>
        <w:jc w:val="both"/>
        <w:rPr>
          <w:rFonts w:ascii="Aptos" w:eastAsia="Times New Roman" w:hAnsi="Aptos"/>
          <w:lang w:val="en-US"/>
        </w:rPr>
      </w:pPr>
      <w:r w:rsidRPr="000A1ACA">
        <w:rPr>
          <w:rFonts w:ascii="Aptos" w:hAnsi="Aptos" w:cs="Calibri"/>
          <w:lang w:val="en-CA"/>
        </w:rPr>
        <w:t xml:space="preserve">First, in its original jurisdiction, decisions such as </w:t>
      </w:r>
      <w:r w:rsidRPr="000A1ACA">
        <w:rPr>
          <w:rFonts w:ascii="Aptos" w:hAnsi="Aptos" w:cs="Calibri"/>
          <w:i/>
          <w:iCs/>
          <w:lang w:val="en-CA"/>
        </w:rPr>
        <w:t>Trinidad Cement Ltd and TCL Guyana Inc v Co-operative Republic of Guyana</w:t>
      </w:r>
      <w:r w:rsidRPr="000A1ACA">
        <w:rPr>
          <w:rFonts w:ascii="Aptos" w:hAnsi="Aptos" w:cs="Calibri"/>
          <w:lang w:val="en-CA"/>
        </w:rPr>
        <w:t xml:space="preserve"> (2009), </w:t>
      </w:r>
      <w:r w:rsidRPr="000A1ACA">
        <w:rPr>
          <w:rFonts w:ascii="Aptos" w:hAnsi="Aptos" w:cs="Calibri"/>
          <w:i/>
          <w:iCs/>
          <w:lang w:val="en-CA"/>
        </w:rPr>
        <w:t>The State of Belize v The State of Trinidad and Tobago</w:t>
      </w:r>
      <w:r w:rsidRPr="000A1ACA">
        <w:rPr>
          <w:rFonts w:ascii="Aptos" w:hAnsi="Aptos" w:cs="Calibri"/>
          <w:lang w:val="en-CA"/>
        </w:rPr>
        <w:t xml:space="preserve"> (2014), and </w:t>
      </w:r>
      <w:r w:rsidRPr="000A1ACA">
        <w:rPr>
          <w:rFonts w:ascii="Aptos" w:hAnsi="Aptos" w:cs="Calibri"/>
          <w:i/>
          <w:iCs/>
          <w:lang w:val="en-CA"/>
        </w:rPr>
        <w:t>Hummingbird Rice Mills Ltd v Suriname</w:t>
      </w:r>
      <w:r w:rsidRPr="000A1ACA">
        <w:rPr>
          <w:rFonts w:ascii="Aptos" w:hAnsi="Aptos" w:cs="Calibri"/>
          <w:lang w:val="en-CA"/>
        </w:rPr>
        <w:t xml:space="preserve"> (2012) do not constitute pure private-international-law judgments. Yet they employ a quasi-PIL rhetoric, invoking concepts analogous to conflict-of-laws reasoning—jurisdictional allocation, mutual recognition, and cross-border coordination of rights—within the framework of regional economic integration.</w:t>
      </w:r>
    </w:p>
    <w:p w14:paraId="5E214E93" w14:textId="77777777" w:rsidR="00AB423A" w:rsidRPr="000A1ACA" w:rsidRDefault="003D1282" w:rsidP="00AB423A">
      <w:pPr>
        <w:jc w:val="both"/>
        <w:rPr>
          <w:rFonts w:ascii="Aptos" w:eastAsia="Times New Roman" w:hAnsi="Aptos"/>
          <w:lang w:val="en-US"/>
        </w:rPr>
      </w:pPr>
      <w:r w:rsidRPr="000A1ACA">
        <w:rPr>
          <w:rFonts w:ascii="Aptos" w:hAnsi="Aptos" w:cs="Calibri"/>
          <w:lang w:val="en-CA"/>
        </w:rPr>
        <w:t xml:space="preserve">Second, in its appellate jurisdiction, cases such as </w:t>
      </w:r>
      <w:r w:rsidRPr="000A1ACA">
        <w:rPr>
          <w:rFonts w:ascii="Aptos" w:hAnsi="Aptos" w:cs="Calibri"/>
          <w:i/>
          <w:iCs/>
          <w:lang w:val="en-CA"/>
        </w:rPr>
        <w:t>BCB Holdings Ltd and Belize Bank Ltd v Attorney General of Belize</w:t>
      </w:r>
      <w:r w:rsidRPr="000A1ACA">
        <w:rPr>
          <w:rFonts w:ascii="Aptos" w:hAnsi="Aptos" w:cs="Calibri"/>
          <w:lang w:val="en-CA"/>
        </w:rPr>
        <w:t xml:space="preserve"> (2013) and </w:t>
      </w:r>
      <w:r w:rsidRPr="000A1ACA">
        <w:rPr>
          <w:rFonts w:ascii="Aptos" w:hAnsi="Aptos" w:cs="Calibri"/>
          <w:i/>
          <w:iCs/>
          <w:lang w:val="en-CA"/>
        </w:rPr>
        <w:t>Belize Bank Ltd v Attorney General of Belize</w:t>
      </w:r>
      <w:r w:rsidRPr="000A1ACA">
        <w:rPr>
          <w:rFonts w:ascii="Aptos" w:hAnsi="Aptos" w:cs="Calibri"/>
          <w:lang w:val="en-CA"/>
        </w:rPr>
        <w:t xml:space="preserve"> (2017) could have become the Court’s first genuine private-international-law precedents, particularly regarding recognition and enforcement of foreign </w:t>
      </w:r>
      <w:r w:rsidRPr="000A1ACA">
        <w:rPr>
          <w:rFonts w:ascii="Aptos" w:hAnsi="Aptos" w:cs="Calibri"/>
          <w:lang w:val="en-CA"/>
        </w:rPr>
        <w:lastRenderedPageBreak/>
        <w:t>arbitral awards. Instead, the CCJ approached these disputes through a constitutional and sovereignty lens, framing them as questions of constitutional supremacy and public policy. As a result, what might have been the foundation of a Caribbean doctrine on international enforcement became a missed opportunity to develop regional conflict-of-laws principles.</w:t>
      </w:r>
    </w:p>
    <w:p w14:paraId="313B4FE8" w14:textId="77777777" w:rsidR="00AB423A" w:rsidRPr="000A1ACA" w:rsidRDefault="003D1282" w:rsidP="00AB423A">
      <w:pPr>
        <w:jc w:val="both"/>
        <w:rPr>
          <w:rFonts w:ascii="Aptos" w:eastAsia="Times New Roman" w:hAnsi="Aptos"/>
          <w:lang w:val="en-US"/>
        </w:rPr>
      </w:pPr>
      <w:r w:rsidRPr="000A1ACA">
        <w:rPr>
          <w:rFonts w:ascii="Aptos" w:hAnsi="Aptos" w:cs="Calibri"/>
          <w:lang w:val="en-CA"/>
        </w:rPr>
        <w:t>The CCJ’s contribution to private international law is embryonic but conceptually significant. It stands at the intersection of public international law, regional integration law, and private cross-border justice. While it is not yet a regional court of private international law, it possesses the institutional legitimacy and regulatory tools to evolve into one—if its future jurisprudence integrates comparative conflict-of-laws reasoning with the broader Caribbean integration project.</w:t>
      </w:r>
    </w:p>
    <w:p w14:paraId="3B2CE7A5" w14:textId="77777777" w:rsidR="004E6BD7" w:rsidRPr="000A1ACA" w:rsidRDefault="004E6BD7" w:rsidP="003D1282">
      <w:pPr>
        <w:spacing w:after="0" w:line="240" w:lineRule="auto"/>
        <w:jc w:val="both"/>
        <w:rPr>
          <w:rFonts w:ascii="Aptos" w:hAnsi="Aptos" w:cs="Calibri"/>
          <w:lang w:val="en-CA"/>
        </w:rPr>
      </w:pPr>
    </w:p>
    <w:p w14:paraId="41C6EDF4" w14:textId="77777777" w:rsidR="004E6BD7" w:rsidRPr="000A1ACA" w:rsidRDefault="004E6BD7" w:rsidP="003D1282">
      <w:pPr>
        <w:spacing w:after="120" w:line="240" w:lineRule="auto"/>
        <w:ind w:left="426" w:right="567"/>
        <w:jc w:val="both"/>
        <w:rPr>
          <w:rFonts w:ascii="Aptos" w:hAnsi="Aptos" w:cs="Calibri"/>
          <w:b/>
          <w:bCs/>
          <w:color w:val="C00000"/>
          <w:lang w:val="en-GB"/>
        </w:rPr>
      </w:pPr>
    </w:p>
    <w:p w14:paraId="2531ABCA" w14:textId="0FB1B167" w:rsidR="004E6BD7" w:rsidRPr="000A1ACA" w:rsidRDefault="003D1282" w:rsidP="003D1282">
      <w:pPr>
        <w:spacing w:after="120" w:line="240" w:lineRule="auto"/>
        <w:ind w:right="567"/>
        <w:rPr>
          <w:rFonts w:ascii="Aptos" w:eastAsia="Times New Roman" w:hAnsi="Aptos" w:cs="Calibri"/>
          <w:b/>
          <w:lang w:val="en-GB"/>
        </w:rPr>
      </w:pPr>
      <w:r w:rsidRPr="000A1ACA">
        <w:rPr>
          <w:rFonts w:ascii="Aptos" w:eastAsia="Times New Roman" w:hAnsi="Aptos" w:cs="Calibri"/>
          <w:b/>
          <w:lang w:val="en-GB"/>
        </w:rPr>
        <w:t>Özlem BURDURLU AHLAT</w:t>
      </w:r>
    </w:p>
    <w:p w14:paraId="137AA85A" w14:textId="77777777" w:rsidR="003D1282" w:rsidRPr="000A1ACA" w:rsidRDefault="003D1282" w:rsidP="003D1282">
      <w:pPr>
        <w:spacing w:before="240" w:after="160" w:line="259" w:lineRule="auto"/>
        <w:jc w:val="both"/>
        <w:rPr>
          <w:rFonts w:ascii="Aptos" w:hAnsi="Aptos"/>
          <w:lang w:val="en-US"/>
        </w:rPr>
      </w:pPr>
      <w:r w:rsidRPr="000A1ACA">
        <w:rPr>
          <w:rFonts w:ascii="Aptos" w:hAnsi="Aptos"/>
          <w:lang w:val="en-US"/>
        </w:rPr>
        <w:t xml:space="preserve">On November 5, 2024, the Turkish Constitutional Court annulled Article 27(1) of the Turkish Private International and Civil Procedural Law Act (Turkish PILA), which had allowed parties to international employment contracts to freely choose the applicable law, provided that the chosen law offered higher protection for the employee than the law of the habitual place of work. The decision, published in the Official Gazette on March 10, 2025, marks a historic precedent as the first instance in Turkish legal history where a conflict of laws rule was annulled for breaching a constitutional right. The Court justified its decision on the grounds that Article 27(1) conflicted with Article 49 of the Constitution on the </w:t>
      </w:r>
      <w:r w:rsidRPr="000A1ACA">
        <w:rPr>
          <w:rFonts w:ascii="Aptos" w:hAnsi="Aptos"/>
          <w:i/>
          <w:lang w:val="en-US"/>
        </w:rPr>
        <w:t>'Right to Employment</w:t>
      </w:r>
      <w:r w:rsidRPr="000A1ACA">
        <w:rPr>
          <w:rFonts w:ascii="Aptos" w:hAnsi="Aptos"/>
          <w:lang w:val="en-US"/>
        </w:rPr>
        <w:t>’ which imposes a positive obligation on the state to protect employees' rights.</w:t>
      </w:r>
    </w:p>
    <w:p w14:paraId="0B769A58" w14:textId="009294C5" w:rsidR="003D1282" w:rsidRPr="000A1ACA" w:rsidRDefault="003D1282" w:rsidP="00A722EE">
      <w:pPr>
        <w:jc w:val="both"/>
        <w:rPr>
          <w:rFonts w:ascii="Aptos" w:hAnsi="Aptos"/>
          <w:lang w:val="en-US"/>
        </w:rPr>
      </w:pPr>
      <w:r w:rsidRPr="000A1ACA">
        <w:rPr>
          <w:rFonts w:ascii="Aptos" w:hAnsi="Aptos"/>
          <w:lang w:val="en-US"/>
        </w:rPr>
        <w:t>The Court reasoned that in practice, the freedom to choose the applicable law could lead to disparities in the protection afforded to employees of Turkish companies operating internationally. Specifically, it argued that if both the chosen law and the law of the habitual place of work failed to provide sufficient protection mechanisms, the employee could be left with fewer rights and minimal protection compared to his colleagues working within Turkey. Therefore, the Court concluded that Article 27(1) infringed the state’s constitutional duty to protect and balance the interest of workers under Article 49.</w:t>
      </w:r>
      <w:r w:rsidR="00A722EE" w:rsidRPr="000A1ACA">
        <w:rPr>
          <w:rFonts w:ascii="Aptos" w:hAnsi="Aptos"/>
          <w:lang w:val="en-US"/>
        </w:rPr>
        <w:br/>
      </w:r>
      <w:r w:rsidRPr="000A1ACA">
        <w:rPr>
          <w:rFonts w:ascii="Aptos" w:hAnsi="Aptos"/>
          <w:lang w:val="en-US"/>
        </w:rPr>
        <w:t xml:space="preserve">In the presentation a dual critique of the Court’s approach will be offered. First, from the perspective of private international law theory, conflict of </w:t>
      </w:r>
      <w:proofErr w:type="gramStart"/>
      <w:r w:rsidRPr="000A1ACA">
        <w:rPr>
          <w:rFonts w:ascii="Aptos" w:hAnsi="Aptos"/>
          <w:lang w:val="en-US"/>
        </w:rPr>
        <w:t>laws rules—though</w:t>
      </w:r>
      <w:proofErr w:type="gramEnd"/>
      <w:r w:rsidRPr="000A1ACA">
        <w:rPr>
          <w:rFonts w:ascii="Aptos" w:hAnsi="Aptos"/>
          <w:lang w:val="en-US"/>
        </w:rPr>
        <w:t xml:space="preserve"> enacted by national legislators—form part of an international legal order aimed at resolving transnational disputes. Their function is not limited to protecting solely the national interest, but rather to ensure legal predictability and fairness in cross-border relations involving national and foreign entities and individuals. By annulling Article 27(1), the Court effectively prioritized domestic concerns over the balancing function of conflict of laws rules.</w:t>
      </w:r>
    </w:p>
    <w:p w14:paraId="600BE22E" w14:textId="77777777" w:rsidR="003D1282" w:rsidRPr="000A1ACA" w:rsidRDefault="003D1282" w:rsidP="003D1282">
      <w:pPr>
        <w:jc w:val="both"/>
        <w:rPr>
          <w:rFonts w:ascii="Aptos" w:hAnsi="Aptos"/>
          <w:lang w:val="en-US"/>
        </w:rPr>
      </w:pPr>
      <w:r w:rsidRPr="000A1ACA">
        <w:rPr>
          <w:rFonts w:ascii="Aptos" w:hAnsi="Aptos"/>
          <w:lang w:val="en-US"/>
        </w:rPr>
        <w:t xml:space="preserve">Second, from a constitutional standpoint, the Court’s ruling reveals a problematic interpretative methodology. The constitutional incompatibility did not arise </w:t>
      </w:r>
      <w:r w:rsidRPr="000A1ACA">
        <w:rPr>
          <w:rFonts w:ascii="Aptos" w:hAnsi="Aptos"/>
          <w:i/>
          <w:iCs/>
          <w:lang w:val="en-US"/>
        </w:rPr>
        <w:t>de jure</w:t>
      </w:r>
      <w:r w:rsidRPr="000A1ACA">
        <w:rPr>
          <w:rFonts w:ascii="Aptos" w:hAnsi="Aptos"/>
          <w:lang w:val="en-US"/>
        </w:rPr>
        <w:t xml:space="preserve"> from the legal text of Article 27(1) itself, but </w:t>
      </w:r>
      <w:r w:rsidRPr="000A1ACA">
        <w:rPr>
          <w:rFonts w:ascii="Aptos" w:hAnsi="Aptos"/>
          <w:i/>
          <w:iCs/>
          <w:lang w:val="en-US"/>
        </w:rPr>
        <w:t>de facto</w:t>
      </w:r>
      <w:r w:rsidRPr="000A1ACA">
        <w:rPr>
          <w:rFonts w:ascii="Aptos" w:hAnsi="Aptos"/>
          <w:lang w:val="en-US"/>
        </w:rPr>
        <w:t xml:space="preserve"> from its operational application, where judicial practice failed to ensure adequate protection for employees. Instead of direct annulment, the Court could have employed a constitutionally conforming interpretation (interpretative rejection), preserving the provision by relying on the existence of Article 5 of Turkish PILA, which permits the exclusion of foreign law provisions incompatible with Turkish public policy. This interpretive solution would have addressed concerns over insufficient employee protection while simultaneously upholding freedom of choice.</w:t>
      </w:r>
    </w:p>
    <w:p w14:paraId="42F0F21A" w14:textId="5F2F51FA" w:rsidR="003D1282" w:rsidRPr="000A1ACA" w:rsidRDefault="003D1282" w:rsidP="003D1282">
      <w:pPr>
        <w:spacing w:before="240" w:after="160" w:line="259" w:lineRule="auto"/>
        <w:jc w:val="both"/>
        <w:rPr>
          <w:rFonts w:ascii="Aptos" w:hAnsi="Aptos"/>
          <w:lang w:val="en-US"/>
        </w:rPr>
      </w:pPr>
      <w:r w:rsidRPr="000A1ACA">
        <w:rPr>
          <w:rFonts w:ascii="Aptos" w:hAnsi="Aptos"/>
          <w:lang w:val="en-US"/>
        </w:rPr>
        <w:t xml:space="preserve">Following the annulment, legislative intervention was required to fill the legal void left by Article 27(1)’s cancellation. In this context, the Article 27 of the Turkish PILA was amended in </w:t>
      </w:r>
      <w:proofErr w:type="gramStart"/>
      <w:r w:rsidRPr="000A1ACA">
        <w:rPr>
          <w:rFonts w:ascii="Aptos" w:hAnsi="Aptos"/>
          <w:lang w:val="en-US"/>
        </w:rPr>
        <w:t>June,</w:t>
      </w:r>
      <w:proofErr w:type="gramEnd"/>
      <w:r w:rsidRPr="000A1ACA">
        <w:rPr>
          <w:rFonts w:ascii="Aptos" w:hAnsi="Aptos"/>
          <w:lang w:val="en-US"/>
        </w:rPr>
        <w:t xml:space="preserve"> 2025. The presentation will also set out the relevant provision and include a discussion of the revisions introduced by the new version. </w:t>
      </w:r>
    </w:p>
    <w:p w14:paraId="6ACCB94B" w14:textId="207EE397" w:rsidR="003D1282" w:rsidRPr="000A1ACA" w:rsidRDefault="001F3253" w:rsidP="003D1282">
      <w:pPr>
        <w:jc w:val="both"/>
        <w:rPr>
          <w:rFonts w:ascii="Aptos" w:eastAsia="Times New Roman" w:hAnsi="Aptos" w:cs="Calibri"/>
          <w:b/>
          <w:lang w:val="en-GB"/>
        </w:rPr>
      </w:pPr>
      <w:r w:rsidRPr="000A1ACA">
        <w:rPr>
          <w:rFonts w:ascii="Aptos" w:eastAsia="Times New Roman" w:hAnsi="Aptos" w:cs="Calibri"/>
          <w:b/>
          <w:lang w:val="en-GB"/>
        </w:rPr>
        <w:lastRenderedPageBreak/>
        <w:t>Aygun MAMMADZADA</w:t>
      </w:r>
    </w:p>
    <w:p w14:paraId="599F2D3D" w14:textId="2DBF244C" w:rsidR="003644BA" w:rsidRPr="000A1ACA" w:rsidRDefault="003644BA" w:rsidP="003644BA">
      <w:pPr>
        <w:jc w:val="both"/>
        <w:rPr>
          <w:rFonts w:ascii="Aptos" w:eastAsia="Times New Roman" w:hAnsi="Aptos" w:cs="Calibri"/>
          <w:bCs/>
          <w:lang w:val="en-US"/>
        </w:rPr>
      </w:pPr>
      <w:r w:rsidRPr="000A1ACA">
        <w:rPr>
          <w:rFonts w:ascii="Aptos" w:eastAsia="Times New Roman" w:hAnsi="Aptos" w:cs="Calibri"/>
          <w:bCs/>
          <w:lang w:val="en-US"/>
        </w:rPr>
        <w:t xml:space="preserve">The emergence of digital assets has disrupted conventional categories of private law and raised complex questions that challenge the foundations of private international law. These assets, inherently borderless, defy traditional rules on </w:t>
      </w:r>
      <w:r w:rsidRPr="000A1ACA">
        <w:rPr>
          <w:rFonts w:ascii="Aptos" w:eastAsia="Times New Roman" w:hAnsi="Aptos" w:cs="Calibri"/>
          <w:bCs/>
          <w:i/>
          <w:lang w:val="en-US"/>
        </w:rPr>
        <w:t>situs</w:t>
      </w:r>
      <w:r w:rsidRPr="000A1ACA">
        <w:rPr>
          <w:rFonts w:ascii="Aptos" w:eastAsia="Times New Roman" w:hAnsi="Aptos" w:cs="Calibri"/>
          <w:bCs/>
          <w:lang w:val="en-US"/>
        </w:rPr>
        <w:t xml:space="preserve">, connecting factors, and resolution of cross-border disputes. As legislative responses evolve, courts have increasingly become the primary site for legal innovation in this area by shaping how digital property is to be </w:t>
      </w:r>
      <w:proofErr w:type="spellStart"/>
      <w:r w:rsidRPr="000A1ACA">
        <w:rPr>
          <w:rFonts w:ascii="Aptos" w:eastAsia="Times New Roman" w:hAnsi="Aptos" w:cs="Calibri"/>
          <w:bCs/>
          <w:lang w:val="en-US"/>
        </w:rPr>
        <w:t>conceptualised</w:t>
      </w:r>
      <w:proofErr w:type="spellEnd"/>
      <w:r w:rsidRPr="000A1ACA">
        <w:rPr>
          <w:rFonts w:ascii="Aptos" w:eastAsia="Times New Roman" w:hAnsi="Aptos" w:cs="Calibri"/>
          <w:bCs/>
          <w:lang w:val="en-US"/>
        </w:rPr>
        <w:t xml:space="preserve">, protected, and governed across jurisdictions. Perhaps nowhere is this more evident than in England, where the judiciary has played a formative role in reframing digital assets and addressing their private international law implications. </w:t>
      </w:r>
    </w:p>
    <w:p w14:paraId="793DDFD9" w14:textId="4433C6D3" w:rsidR="00A318EB" w:rsidRPr="000A1ACA" w:rsidRDefault="003644BA" w:rsidP="003644BA">
      <w:pPr>
        <w:jc w:val="both"/>
        <w:rPr>
          <w:rFonts w:ascii="Aptos" w:eastAsia="Times New Roman" w:hAnsi="Aptos" w:cs="Calibri"/>
          <w:bCs/>
          <w:lang w:val="en-US"/>
        </w:rPr>
      </w:pPr>
      <w:r w:rsidRPr="000A1ACA">
        <w:rPr>
          <w:rFonts w:ascii="Aptos" w:eastAsia="Times New Roman" w:hAnsi="Aptos" w:cs="Calibri"/>
          <w:bCs/>
          <w:lang w:val="en-US"/>
        </w:rPr>
        <w:t xml:space="preserve">This paper explores the evolving jurisprudence of English courts in addressing digital assets and examines their role as norm entrepreneurs in the development of private international law. Focusing on cases such as </w:t>
      </w:r>
      <w:r w:rsidRPr="000A1ACA">
        <w:rPr>
          <w:rFonts w:ascii="Aptos" w:eastAsia="Times New Roman" w:hAnsi="Aptos" w:cs="Calibri"/>
          <w:bCs/>
          <w:i/>
          <w:lang w:val="en-US"/>
        </w:rPr>
        <w:t>AA v Persons Unknown</w:t>
      </w:r>
      <w:r w:rsidRPr="000A1ACA">
        <w:rPr>
          <w:rFonts w:ascii="Aptos" w:eastAsia="Times New Roman" w:hAnsi="Aptos" w:cs="Calibri"/>
          <w:bCs/>
          <w:lang w:val="en-US"/>
        </w:rPr>
        <w:t xml:space="preserve">, </w:t>
      </w:r>
      <w:r w:rsidRPr="000A1ACA">
        <w:rPr>
          <w:rFonts w:ascii="Aptos" w:eastAsia="Times New Roman" w:hAnsi="Aptos" w:cs="Calibri"/>
          <w:bCs/>
          <w:i/>
          <w:lang w:val="en-US"/>
        </w:rPr>
        <w:t>Ion Science v Persons Unknown</w:t>
      </w:r>
      <w:r w:rsidRPr="000A1ACA">
        <w:rPr>
          <w:rFonts w:ascii="Aptos" w:eastAsia="Times New Roman" w:hAnsi="Aptos" w:cs="Calibri"/>
          <w:bCs/>
          <w:lang w:val="en-US"/>
        </w:rPr>
        <w:t xml:space="preserve">, </w:t>
      </w:r>
      <w:r w:rsidRPr="000A1ACA">
        <w:rPr>
          <w:rFonts w:ascii="Aptos" w:eastAsia="Times New Roman" w:hAnsi="Aptos" w:cs="Calibri"/>
          <w:bCs/>
          <w:i/>
          <w:lang w:val="en-US"/>
        </w:rPr>
        <w:t>Fetch.ai v Persons Unknown</w:t>
      </w:r>
      <w:r w:rsidRPr="000A1ACA">
        <w:rPr>
          <w:rFonts w:ascii="Aptos" w:eastAsia="Times New Roman" w:hAnsi="Aptos" w:cs="Calibri"/>
          <w:bCs/>
          <w:lang w:val="en-US"/>
        </w:rPr>
        <w:t xml:space="preserve">, </w:t>
      </w:r>
      <w:r w:rsidRPr="000A1ACA">
        <w:rPr>
          <w:rFonts w:ascii="Aptos" w:eastAsia="Times New Roman" w:hAnsi="Aptos" w:cs="Calibri"/>
          <w:bCs/>
          <w:i/>
          <w:lang w:val="en-US"/>
        </w:rPr>
        <w:t>Tulip Trading v Bitcoin Association for BSV</w:t>
      </w:r>
      <w:r w:rsidRPr="000A1ACA">
        <w:rPr>
          <w:rFonts w:ascii="Aptos" w:eastAsia="Times New Roman" w:hAnsi="Aptos" w:cs="Calibri"/>
          <w:bCs/>
          <w:lang w:val="en-US"/>
        </w:rPr>
        <w:t xml:space="preserve">, </w:t>
      </w:r>
      <w:r w:rsidRPr="000A1ACA">
        <w:rPr>
          <w:rFonts w:ascii="Aptos" w:eastAsia="Times New Roman" w:hAnsi="Aptos" w:cs="Calibri"/>
          <w:bCs/>
          <w:i/>
          <w:lang w:val="en-US"/>
        </w:rPr>
        <w:t>D’Aloia v Persons Unknown</w:t>
      </w:r>
      <w:r w:rsidRPr="000A1ACA">
        <w:rPr>
          <w:rFonts w:ascii="Aptos" w:eastAsia="Times New Roman" w:hAnsi="Aptos" w:cs="Calibri"/>
          <w:bCs/>
          <w:lang w:val="en-US"/>
        </w:rPr>
        <w:t xml:space="preserve">, and </w:t>
      </w:r>
      <w:r w:rsidRPr="000A1ACA">
        <w:rPr>
          <w:rFonts w:ascii="Aptos" w:eastAsia="Times New Roman" w:hAnsi="Aptos" w:cs="Calibri"/>
          <w:bCs/>
          <w:i/>
          <w:lang w:val="en-US"/>
        </w:rPr>
        <w:t>Osbourne v Persons Unknown</w:t>
      </w:r>
      <w:r w:rsidRPr="000A1ACA">
        <w:rPr>
          <w:rFonts w:ascii="Aptos" w:eastAsia="Times New Roman" w:hAnsi="Aptos" w:cs="Calibri"/>
          <w:bCs/>
          <w:lang w:val="en-US"/>
        </w:rPr>
        <w:t xml:space="preserve">, the paper traces how courts took a pioneering stance by </w:t>
      </w:r>
      <w:proofErr w:type="spellStart"/>
      <w:r w:rsidRPr="000A1ACA">
        <w:rPr>
          <w:rFonts w:ascii="Aptos" w:eastAsia="Times New Roman" w:hAnsi="Aptos" w:cs="Calibri"/>
          <w:bCs/>
          <w:lang w:val="en-US"/>
        </w:rPr>
        <w:t>recognising</w:t>
      </w:r>
      <w:proofErr w:type="spellEnd"/>
      <w:r w:rsidRPr="000A1ACA">
        <w:rPr>
          <w:rFonts w:ascii="Aptos" w:eastAsia="Times New Roman" w:hAnsi="Aptos" w:cs="Calibri"/>
          <w:bCs/>
          <w:lang w:val="en-US"/>
        </w:rPr>
        <w:t xml:space="preserve"> certain digital assets—especially cryptocurrencies—as property long before legislative proposals emerged. These rulings laid the doctrinal foundation that directly influenced the Law Commission’s subsequent reform initiatives, culminating in the </w:t>
      </w:r>
      <w:r w:rsidRPr="000A1ACA">
        <w:rPr>
          <w:rFonts w:ascii="Aptos" w:eastAsia="Times New Roman" w:hAnsi="Aptos" w:cs="Calibri"/>
          <w:bCs/>
          <w:i/>
          <w:lang w:val="en-US"/>
        </w:rPr>
        <w:t xml:space="preserve">Property (Digital Assets </w:t>
      </w:r>
      <w:proofErr w:type="spellStart"/>
      <w:r w:rsidRPr="000A1ACA">
        <w:rPr>
          <w:rFonts w:ascii="Aptos" w:eastAsia="Times New Roman" w:hAnsi="Aptos" w:cs="Calibri"/>
          <w:bCs/>
          <w:i/>
          <w:lang w:val="en-US"/>
        </w:rPr>
        <w:t>etc</w:t>
      </w:r>
      <w:proofErr w:type="spellEnd"/>
      <w:r w:rsidRPr="000A1ACA">
        <w:rPr>
          <w:rFonts w:ascii="Aptos" w:eastAsia="Times New Roman" w:hAnsi="Aptos" w:cs="Calibri"/>
          <w:bCs/>
          <w:i/>
          <w:lang w:val="en-US"/>
        </w:rPr>
        <w:t>) Bill [HL] (2024)</w:t>
      </w:r>
      <w:r w:rsidRPr="000A1ACA">
        <w:rPr>
          <w:rFonts w:ascii="Aptos" w:eastAsia="Times New Roman" w:hAnsi="Aptos" w:cs="Calibri"/>
          <w:bCs/>
          <w:lang w:val="en-US"/>
        </w:rPr>
        <w:t xml:space="preserve">. As the Commission itself acknowledged, judicial reasoning was instrumental in shaping the contours of the proposed legislative framework, particularly its endorsement of digital assets as a novel, third category of personal property.  </w:t>
      </w:r>
    </w:p>
    <w:p w14:paraId="3F12D601" w14:textId="44E2FEB0" w:rsidR="00AD0E00" w:rsidRPr="000A1ACA" w:rsidRDefault="00AD0E00" w:rsidP="003644BA">
      <w:pPr>
        <w:jc w:val="both"/>
        <w:rPr>
          <w:rFonts w:ascii="Aptos" w:eastAsia="Times New Roman" w:hAnsi="Aptos" w:cs="Calibri"/>
          <w:b/>
          <w:lang w:val="fr-CH"/>
        </w:rPr>
      </w:pPr>
      <w:r w:rsidRPr="000A1ACA">
        <w:rPr>
          <w:rFonts w:ascii="Aptos" w:eastAsia="Times New Roman" w:hAnsi="Aptos" w:cs="Calibri"/>
          <w:b/>
          <w:lang w:val="fr-CH"/>
        </w:rPr>
        <w:t>Marie-Elodie ANCEL</w:t>
      </w:r>
    </w:p>
    <w:p w14:paraId="58638CAC" w14:textId="77777777" w:rsidR="00AD0E00" w:rsidRPr="000A1ACA" w:rsidRDefault="00AD0E00" w:rsidP="00AD0E00">
      <w:pPr>
        <w:jc w:val="both"/>
        <w:rPr>
          <w:rFonts w:ascii="Aptos" w:eastAsia="Times New Roman" w:hAnsi="Aptos" w:cs="Calibri"/>
          <w:bCs/>
          <w:lang w:val="fr-CH"/>
        </w:rPr>
      </w:pPr>
      <w:r w:rsidRPr="000A1ACA">
        <w:rPr>
          <w:rFonts w:ascii="Aptos" w:eastAsia="Times New Roman" w:hAnsi="Aptos" w:cs="Calibri"/>
          <w:bCs/>
          <w:lang w:val="fr-CH"/>
        </w:rPr>
        <w:t>Situation paradoxale dans le pays du Code Napoléon, le droit international privé français est seulement fondé sur quelques dispositions codifiées, anciennes et/ou imparfaites. Pour une très large part, il tire donc sa vitalité et sa sophistication de l’inventivité des acteurs judiciaires, avocats, à la cour et aux Conseils, et magistrats, du fond et de la Cour de cassation. Mais pour mettre en lumière et stimuler cette inventivité, et pour œuvrer à une véritable théorie du droit international privé français, il a fallu aussi des universitaires attentifs à la pratique judiciaire, voire eux-mêmes impliqués dans cette pratique. On mesure ainsi combien les liens personnels et les lieux d’échange entre le Palais et la Faculté peuvent être bénéfiques à la discipline.</w:t>
      </w:r>
    </w:p>
    <w:p w14:paraId="02042DF3" w14:textId="516088DD" w:rsidR="004A01A8" w:rsidRPr="000A1ACA" w:rsidRDefault="004A01A8" w:rsidP="003644BA">
      <w:pPr>
        <w:jc w:val="both"/>
        <w:rPr>
          <w:rFonts w:ascii="Aptos" w:eastAsia="Times New Roman" w:hAnsi="Aptos" w:cs="Calibri"/>
          <w:b/>
          <w:lang w:val="en-US"/>
        </w:rPr>
      </w:pPr>
      <w:proofErr w:type="spellStart"/>
      <w:r w:rsidRPr="000A1ACA">
        <w:rPr>
          <w:rFonts w:ascii="Aptos" w:eastAsia="Times New Roman" w:hAnsi="Aptos" w:cs="Calibri"/>
          <w:b/>
          <w:lang w:val="en-US"/>
        </w:rPr>
        <w:t>Harrith</w:t>
      </w:r>
      <w:proofErr w:type="spellEnd"/>
      <w:r w:rsidRPr="000A1ACA">
        <w:rPr>
          <w:rFonts w:ascii="Aptos" w:eastAsia="Times New Roman" w:hAnsi="Aptos" w:cs="Calibri"/>
          <w:b/>
          <w:lang w:val="en-US"/>
        </w:rPr>
        <w:t xml:space="preserve"> AL-DABBAGH</w:t>
      </w:r>
    </w:p>
    <w:p w14:paraId="0E2B8F4D" w14:textId="77777777" w:rsidR="001905E0" w:rsidRPr="000A1ACA" w:rsidRDefault="001905E0" w:rsidP="001905E0">
      <w:pPr>
        <w:jc w:val="both"/>
        <w:rPr>
          <w:rFonts w:ascii="Aptos" w:hAnsi="Aptos"/>
          <w:lang w:val="en-CA"/>
        </w:rPr>
      </w:pPr>
      <w:r w:rsidRPr="000A1ACA">
        <w:rPr>
          <w:rFonts w:ascii="Aptos" w:hAnsi="Aptos"/>
          <w:lang w:val="en-CA"/>
        </w:rPr>
        <w:t>Professor Al-Dabbagh proposes to discuss the recent reforms to Quebec’s surrogacy laws. Until 2023, Quebec prohibited surrogacy arrangements under Article 541 of the Civil Code, which states that any agreement whereby a woman agrees to conceive or carry a child for another person is « absolutely null ». At the federal level, offenders could also face severe penalties for paying surrogates or intermediaries to arrange services. Despite these prohibitions, commercial surrogacy arrangements have continued to take place abroad.</w:t>
      </w:r>
    </w:p>
    <w:p w14:paraId="75467FB1" w14:textId="0F3D4511" w:rsidR="001905E0" w:rsidRPr="000A1ACA" w:rsidRDefault="001905E0" w:rsidP="003644BA">
      <w:pPr>
        <w:jc w:val="both"/>
        <w:rPr>
          <w:rFonts w:ascii="Aptos" w:hAnsi="Aptos"/>
          <w:lang w:val="en-CA"/>
        </w:rPr>
      </w:pPr>
      <w:r w:rsidRPr="000A1ACA">
        <w:rPr>
          <w:rFonts w:ascii="Aptos" w:hAnsi="Aptos"/>
          <w:lang w:val="en-CA"/>
        </w:rPr>
        <w:t>Through a liberal interpretation of the law, Quebec Courts have gradually and carefully undermined the legal ban by allowing intended parents to establish legal parentage (filiation). In response, Lawmakers have had to react to counter an interpretation that evolved in an undesired direction. Bill No. 12-2023 establishes a highly regulated framework for cross-border surrogacy arrangements. While making such agreements enforceable, the reform leaves several important questions unanswered and could lead to unforeseen outcomes that may run counter to lawmakers’ original objectives.</w:t>
      </w:r>
    </w:p>
    <w:p w14:paraId="50BDA26A" w14:textId="77777777" w:rsidR="001C47B3" w:rsidRPr="000A1ACA" w:rsidRDefault="001C47B3" w:rsidP="003644BA">
      <w:pPr>
        <w:jc w:val="both"/>
        <w:rPr>
          <w:rFonts w:ascii="Aptos" w:hAnsi="Aptos"/>
          <w:lang w:val="en-CA"/>
        </w:rPr>
      </w:pPr>
    </w:p>
    <w:p w14:paraId="7A86764C" w14:textId="77777777" w:rsidR="001C47B3" w:rsidRPr="000A1ACA" w:rsidRDefault="001C47B3" w:rsidP="003644BA">
      <w:pPr>
        <w:jc w:val="both"/>
        <w:rPr>
          <w:rFonts w:ascii="Aptos" w:hAnsi="Aptos"/>
          <w:lang w:val="en-CA"/>
        </w:rPr>
      </w:pPr>
    </w:p>
    <w:p w14:paraId="341B529D" w14:textId="66C4B00B" w:rsidR="001905E0" w:rsidRPr="000A1ACA" w:rsidRDefault="001905E0" w:rsidP="003644BA">
      <w:pPr>
        <w:jc w:val="both"/>
        <w:rPr>
          <w:rFonts w:ascii="Aptos" w:eastAsia="Times New Roman" w:hAnsi="Aptos" w:cs="Calibri"/>
          <w:bCs/>
          <w:lang w:val="en-US"/>
        </w:rPr>
      </w:pPr>
      <w:r w:rsidRPr="000A1ACA">
        <w:rPr>
          <w:rFonts w:ascii="Aptos" w:eastAsia="Times New Roman" w:hAnsi="Aptos" w:cs="Calibri"/>
          <w:b/>
          <w:lang w:val="en-US"/>
        </w:rPr>
        <w:lastRenderedPageBreak/>
        <w:t>Caterina D’OSUALDO</w:t>
      </w:r>
    </w:p>
    <w:p w14:paraId="5EF4729C" w14:textId="77777777" w:rsidR="001905E0" w:rsidRPr="000A1ACA" w:rsidRDefault="001905E0" w:rsidP="001905E0">
      <w:pPr>
        <w:jc w:val="both"/>
        <w:rPr>
          <w:rFonts w:ascii="Aptos" w:eastAsia="Times New Roman" w:hAnsi="Aptos" w:cs="Calibri"/>
          <w:bCs/>
          <w:lang w:val="en-US"/>
        </w:rPr>
      </w:pPr>
      <w:r w:rsidRPr="000A1ACA">
        <w:rPr>
          <w:rFonts w:ascii="Aptos" w:eastAsia="Times New Roman" w:hAnsi="Aptos" w:cs="Calibri"/>
          <w:bCs/>
          <w:lang w:val="en-IE"/>
        </w:rPr>
        <w:t xml:space="preserve">Strategic Lawsuits Against Public Participation (SLAPPs) are </w:t>
      </w:r>
      <w:r w:rsidRPr="000A1ACA">
        <w:rPr>
          <w:rFonts w:ascii="Aptos" w:eastAsia="Times New Roman" w:hAnsi="Aptos" w:cs="Calibri"/>
          <w:bCs/>
          <w:lang w:val="en-US"/>
        </w:rPr>
        <w:t>abusive court proceedings. They are a particular form of harassment increasingly used against journalists, human rights defenders and others engaged in public participation in a matter of public interest.</w:t>
      </w:r>
    </w:p>
    <w:p w14:paraId="6C9E0004" w14:textId="54D83BBE" w:rsidR="001905E0" w:rsidRPr="000A1ACA" w:rsidRDefault="001905E0" w:rsidP="001905E0">
      <w:pPr>
        <w:jc w:val="both"/>
        <w:rPr>
          <w:rFonts w:ascii="Aptos" w:eastAsia="Times New Roman" w:hAnsi="Aptos" w:cs="Calibri"/>
          <w:bCs/>
          <w:lang w:val="en-IE"/>
        </w:rPr>
      </w:pPr>
      <w:r w:rsidRPr="000A1ACA">
        <w:rPr>
          <w:rFonts w:ascii="Aptos" w:eastAsia="Times New Roman" w:hAnsi="Aptos" w:cs="Calibri"/>
          <w:bCs/>
          <w:lang w:val="en-IE"/>
        </w:rPr>
        <w:t>The EU Anti-SLAPP initiative provides a solid toolbox of safeguards to protect persons who engage in public participation from manifestly unfounded claims or abusive court proceedings. It is a combination of legislation by way of a Directive, and non-legislative measures to complement the legislative instrument in the form of a Recommendation focusing on training, awareness raising, support to targets and monitoring.</w:t>
      </w:r>
      <w:r w:rsidR="00C163B6" w:rsidRPr="000A1ACA">
        <w:rPr>
          <w:rFonts w:ascii="Aptos" w:eastAsia="Times New Roman" w:hAnsi="Aptos" w:cs="Calibri"/>
          <w:bCs/>
          <w:lang w:val="en-IE"/>
        </w:rPr>
        <w:br/>
      </w:r>
      <w:r w:rsidRPr="000A1ACA">
        <w:rPr>
          <w:rFonts w:ascii="Aptos" w:eastAsia="Times New Roman" w:hAnsi="Aptos" w:cs="Calibri"/>
          <w:bCs/>
          <w:lang w:val="en-IE"/>
        </w:rPr>
        <w:t xml:space="preserve">The Directive is currently being transposed by Member States with the transposition deadline on 7 May 2026. </w:t>
      </w:r>
      <w:r w:rsidRPr="000A1ACA">
        <w:rPr>
          <w:rFonts w:ascii="Aptos" w:eastAsia="Times New Roman" w:hAnsi="Aptos" w:cs="Calibri"/>
          <w:bCs/>
          <w:lang w:val="en-US"/>
        </w:rPr>
        <w:t xml:space="preserve">The Commission Recommendation is directly </w:t>
      </w:r>
      <w:proofErr w:type="gramStart"/>
      <w:r w:rsidRPr="000A1ACA">
        <w:rPr>
          <w:rFonts w:ascii="Aptos" w:eastAsia="Times New Roman" w:hAnsi="Aptos" w:cs="Calibri"/>
          <w:bCs/>
          <w:lang w:val="en-US"/>
        </w:rPr>
        <w:t>applicable</w:t>
      </w:r>
      <w:proofErr w:type="gramEnd"/>
      <w:r w:rsidRPr="000A1ACA">
        <w:rPr>
          <w:rFonts w:ascii="Aptos" w:eastAsia="Times New Roman" w:hAnsi="Aptos" w:cs="Calibri"/>
          <w:bCs/>
          <w:lang w:val="en-US"/>
        </w:rPr>
        <w:t xml:space="preserve"> and its implementation has started.</w:t>
      </w:r>
    </w:p>
    <w:p w14:paraId="61B25596" w14:textId="0678C6A9" w:rsidR="001905E0" w:rsidRPr="000A1ACA" w:rsidRDefault="001905E0" w:rsidP="001905E0">
      <w:pPr>
        <w:jc w:val="both"/>
        <w:rPr>
          <w:rFonts w:ascii="Aptos" w:eastAsia="Times New Roman" w:hAnsi="Aptos" w:cs="Calibri"/>
          <w:bCs/>
          <w:lang w:val="en-IE"/>
        </w:rPr>
      </w:pPr>
      <w:r w:rsidRPr="000A1ACA">
        <w:rPr>
          <w:rFonts w:ascii="Aptos" w:eastAsia="Times New Roman" w:hAnsi="Aptos" w:cs="Calibri"/>
          <w:bCs/>
          <w:lang w:val="en-IE"/>
        </w:rPr>
        <w:t xml:space="preserve">In accordance with the restrictions in the EU legal basis, the Directive covers only SLAPPs with cross-border implications in civil and commercial cases. The Recommendation complements the Anti-SLAPP Directive as it covers also domestic cases, as well as criminal and administrative </w:t>
      </w:r>
      <w:proofErr w:type="spellStart"/>
      <w:proofErr w:type="gramStart"/>
      <w:r w:rsidRPr="000A1ACA">
        <w:rPr>
          <w:rFonts w:ascii="Aptos" w:eastAsia="Times New Roman" w:hAnsi="Aptos" w:cs="Calibri"/>
          <w:bCs/>
          <w:lang w:val="en-IE"/>
        </w:rPr>
        <w:t>proceedings.The</w:t>
      </w:r>
      <w:proofErr w:type="spellEnd"/>
      <w:proofErr w:type="gramEnd"/>
      <w:r w:rsidRPr="000A1ACA">
        <w:rPr>
          <w:rFonts w:ascii="Aptos" w:eastAsia="Times New Roman" w:hAnsi="Aptos" w:cs="Calibri"/>
          <w:bCs/>
          <w:lang w:val="en-IE"/>
        </w:rPr>
        <w:t xml:space="preserve"> Directive protects broadly all natural and legal persons who engage in public participation on matters of public interest. This includes journalists, publishers, media organisations, whistleblowers and human rights defenders, as well as civil society organisations, NGOs, trade unions, artists, researchers and academics.</w:t>
      </w:r>
    </w:p>
    <w:p w14:paraId="118A4F2F" w14:textId="77777777" w:rsidR="001905E0" w:rsidRPr="000A1ACA" w:rsidRDefault="001905E0" w:rsidP="001905E0">
      <w:pPr>
        <w:jc w:val="both"/>
        <w:rPr>
          <w:rFonts w:ascii="Aptos" w:eastAsia="Times New Roman" w:hAnsi="Aptos" w:cs="Calibri"/>
          <w:bCs/>
          <w:lang w:val="en-IE"/>
        </w:rPr>
      </w:pPr>
      <w:r w:rsidRPr="000A1ACA">
        <w:rPr>
          <w:rFonts w:ascii="Aptos" w:eastAsia="Times New Roman" w:hAnsi="Aptos" w:cs="Calibri"/>
          <w:bCs/>
          <w:lang w:val="en-IE"/>
        </w:rPr>
        <w:t xml:space="preserve">The three key pillars of the Directive are early dismissal of manifestly unfounded claims, remedies against abusive court proceedings and protection against third country SLAPP-judgements.  </w:t>
      </w:r>
    </w:p>
    <w:p w14:paraId="020C82F0" w14:textId="77777777" w:rsidR="001905E0" w:rsidRPr="000A1ACA" w:rsidRDefault="001905E0" w:rsidP="001905E0">
      <w:pPr>
        <w:jc w:val="both"/>
        <w:rPr>
          <w:rFonts w:ascii="Aptos" w:eastAsia="Times New Roman" w:hAnsi="Aptos" w:cs="Calibri"/>
          <w:bCs/>
          <w:lang w:val="en-IE"/>
        </w:rPr>
      </w:pPr>
      <w:r w:rsidRPr="000A1ACA">
        <w:rPr>
          <w:rFonts w:ascii="Aptos" w:eastAsia="Times New Roman" w:hAnsi="Aptos" w:cs="Calibri"/>
          <w:bCs/>
          <w:lang w:val="en-IE"/>
        </w:rPr>
        <w:t xml:space="preserve">The Anti-SLAPP Directive poses key challenges in its transposition and interpretation. </w:t>
      </w:r>
    </w:p>
    <w:p w14:paraId="68BDD93E" w14:textId="1128754B" w:rsidR="00C163B6" w:rsidRPr="000A1ACA" w:rsidRDefault="001905E0" w:rsidP="00A318EB">
      <w:pPr>
        <w:jc w:val="both"/>
        <w:rPr>
          <w:rFonts w:ascii="Aptos" w:eastAsia="Times New Roman" w:hAnsi="Aptos" w:cs="Calibri"/>
          <w:bCs/>
          <w:lang w:val="en-IE"/>
        </w:rPr>
      </w:pPr>
      <w:r w:rsidRPr="000A1ACA">
        <w:rPr>
          <w:rFonts w:ascii="Aptos" w:eastAsia="Times New Roman" w:hAnsi="Aptos" w:cs="Calibri"/>
          <w:bCs/>
          <w:lang w:val="en-IE"/>
        </w:rPr>
        <w:t xml:space="preserve">Once the Directive is transposed into national law, the role of courts will be crucial for its successful application, for example when assessing the abusive nature of court proceedings or ensuring an accelerated treatment of SLAPPs. </w:t>
      </w:r>
    </w:p>
    <w:p w14:paraId="4A894785" w14:textId="77777777" w:rsidR="00A318EB" w:rsidRPr="000A1ACA" w:rsidRDefault="00A318EB" w:rsidP="00A318EB">
      <w:pPr>
        <w:jc w:val="both"/>
        <w:rPr>
          <w:rFonts w:ascii="Aptos" w:eastAsia="Times New Roman" w:hAnsi="Aptos" w:cs="Calibri"/>
          <w:bCs/>
          <w:lang w:val="en-IE"/>
        </w:rPr>
      </w:pPr>
    </w:p>
    <w:p w14:paraId="65A0FB93" w14:textId="77777777" w:rsidR="005E3313" w:rsidRPr="000A1ACA" w:rsidRDefault="005E3313" w:rsidP="00C163B6">
      <w:pPr>
        <w:spacing w:after="120" w:line="240" w:lineRule="auto"/>
        <w:ind w:right="567"/>
        <w:rPr>
          <w:rFonts w:ascii="Aptos" w:hAnsi="Aptos" w:cs="Calibri"/>
          <w:b/>
          <w:bCs/>
          <w:sz w:val="24"/>
          <w:szCs w:val="24"/>
          <w:lang w:val="en-GB"/>
        </w:rPr>
      </w:pPr>
    </w:p>
    <w:p w14:paraId="13930A5F" w14:textId="77777777" w:rsidR="005E3313" w:rsidRPr="000A1ACA" w:rsidRDefault="005E3313" w:rsidP="00C163B6">
      <w:pPr>
        <w:spacing w:after="120" w:line="240" w:lineRule="auto"/>
        <w:ind w:right="567"/>
        <w:rPr>
          <w:rFonts w:ascii="Aptos" w:hAnsi="Aptos" w:cs="Calibri"/>
          <w:b/>
          <w:bCs/>
          <w:sz w:val="24"/>
          <w:szCs w:val="24"/>
          <w:lang w:val="en-GB"/>
        </w:rPr>
      </w:pPr>
    </w:p>
    <w:p w14:paraId="6ECBA04A" w14:textId="27DFD469" w:rsidR="00C163B6" w:rsidRPr="000A1ACA" w:rsidRDefault="00C163B6" w:rsidP="0013206A">
      <w:pPr>
        <w:spacing w:after="0" w:line="360" w:lineRule="auto"/>
        <w:ind w:right="567"/>
        <w:jc w:val="both"/>
        <w:rPr>
          <w:rFonts w:ascii="Aptos" w:hAnsi="Aptos" w:cs="Calibri"/>
          <w:lang w:val="en-US"/>
        </w:rPr>
      </w:pPr>
      <w:bookmarkStart w:id="2" w:name="_Hlk214383385"/>
      <w:r w:rsidRPr="000A1ACA">
        <w:rPr>
          <w:rFonts w:ascii="Aptos" w:hAnsi="Aptos" w:cs="Calibri"/>
          <w:lang w:val="en-US"/>
        </w:rPr>
        <w:t xml:space="preserve">  </w:t>
      </w:r>
    </w:p>
    <w:p w14:paraId="294E0786" w14:textId="14D1313E" w:rsidR="001905E0" w:rsidRPr="000A1ACA" w:rsidRDefault="001905E0" w:rsidP="00C163B6">
      <w:pPr>
        <w:spacing w:after="120" w:line="240" w:lineRule="auto"/>
        <w:ind w:right="567"/>
        <w:rPr>
          <w:rFonts w:ascii="Aptos" w:hAnsi="Aptos" w:cs="Calibri"/>
          <w:b/>
          <w:bCs/>
          <w:color w:val="C00000"/>
          <w:sz w:val="24"/>
          <w:szCs w:val="24"/>
          <w:lang w:val="en-GB"/>
        </w:rPr>
      </w:pPr>
    </w:p>
    <w:bookmarkEnd w:id="2"/>
    <w:p w14:paraId="1AB7620E" w14:textId="77777777" w:rsidR="001905E0" w:rsidRPr="000A1ACA" w:rsidRDefault="001905E0" w:rsidP="004E6BD7">
      <w:pPr>
        <w:spacing w:after="120" w:line="240" w:lineRule="auto"/>
        <w:ind w:left="426" w:right="567"/>
        <w:rPr>
          <w:rFonts w:ascii="Aptos" w:hAnsi="Aptos" w:cs="Calibri"/>
          <w:b/>
          <w:bCs/>
          <w:color w:val="C00000"/>
          <w:sz w:val="24"/>
          <w:szCs w:val="24"/>
          <w:lang w:val="en-GB"/>
        </w:rPr>
      </w:pPr>
    </w:p>
    <w:p w14:paraId="676B09F9" w14:textId="77777777" w:rsidR="001C47B3" w:rsidRPr="000A1ACA" w:rsidRDefault="001C47B3">
      <w:pPr>
        <w:spacing w:after="0" w:line="240" w:lineRule="auto"/>
        <w:rPr>
          <w:rFonts w:ascii="Aptos" w:eastAsia="Times New Roman" w:hAnsi="Aptos" w:cs="Calibri"/>
          <w:b/>
          <w:color w:val="C00000"/>
          <w:lang w:val="en-US"/>
        </w:rPr>
      </w:pPr>
      <w:r w:rsidRPr="000A1ACA">
        <w:rPr>
          <w:rFonts w:ascii="Aptos" w:eastAsia="Times New Roman" w:hAnsi="Aptos" w:cs="Calibri"/>
          <w:b/>
          <w:color w:val="C00000"/>
          <w:lang w:val="en-US"/>
        </w:rPr>
        <w:br w:type="page"/>
      </w:r>
    </w:p>
    <w:p w14:paraId="72FB4CF7" w14:textId="74F34BB0" w:rsidR="00284BDB" w:rsidRPr="000A1ACA" w:rsidRDefault="00284BDB" w:rsidP="001C47B3">
      <w:pPr>
        <w:jc w:val="center"/>
        <w:rPr>
          <w:rFonts w:ascii="Aptos" w:eastAsia="Times New Roman" w:hAnsi="Aptos" w:cs="Calibri"/>
          <w:b/>
          <w:color w:val="C00000"/>
          <w:sz w:val="24"/>
          <w:szCs w:val="24"/>
          <w:lang w:val="en-US"/>
        </w:rPr>
      </w:pPr>
      <w:r w:rsidRPr="000A1ACA">
        <w:rPr>
          <w:rFonts w:ascii="Aptos" w:eastAsia="Times New Roman" w:hAnsi="Aptos" w:cs="Calibri"/>
          <w:b/>
          <w:color w:val="C00000"/>
          <w:sz w:val="24"/>
          <w:szCs w:val="24"/>
          <w:lang w:val="en-US"/>
        </w:rPr>
        <w:lastRenderedPageBreak/>
        <w:t xml:space="preserve">Research </w:t>
      </w:r>
      <w:r w:rsidR="000A1ACA" w:rsidRPr="000A1ACA">
        <w:rPr>
          <w:rFonts w:ascii="Aptos" w:eastAsia="Times New Roman" w:hAnsi="Aptos" w:cs="Calibri"/>
          <w:b/>
          <w:color w:val="C00000"/>
          <w:sz w:val="24"/>
          <w:szCs w:val="24"/>
          <w:lang w:val="en-US"/>
        </w:rPr>
        <w:t>m</w:t>
      </w:r>
      <w:r w:rsidRPr="000A1ACA">
        <w:rPr>
          <w:rFonts w:ascii="Aptos" w:eastAsia="Times New Roman" w:hAnsi="Aptos" w:cs="Calibri"/>
          <w:b/>
          <w:color w:val="C00000"/>
          <w:sz w:val="24"/>
          <w:szCs w:val="24"/>
          <w:lang w:val="en-US"/>
        </w:rPr>
        <w:t>aterial</w:t>
      </w:r>
      <w:r w:rsidR="000A1ACA" w:rsidRPr="000A1ACA">
        <w:rPr>
          <w:rFonts w:ascii="Aptos" w:eastAsia="Times New Roman" w:hAnsi="Aptos" w:cs="Calibri"/>
          <w:b/>
          <w:color w:val="C00000"/>
          <w:sz w:val="24"/>
          <w:szCs w:val="24"/>
          <w:lang w:val="en-US"/>
        </w:rPr>
        <w:t xml:space="preserve"> retriev</w:t>
      </w:r>
      <w:r w:rsidRPr="000A1ACA">
        <w:rPr>
          <w:rFonts w:ascii="Aptos" w:eastAsia="Times New Roman" w:hAnsi="Aptos" w:cs="Calibri"/>
          <w:b/>
          <w:color w:val="C00000"/>
          <w:sz w:val="24"/>
          <w:szCs w:val="24"/>
          <w:lang w:val="en-US"/>
        </w:rPr>
        <w:t xml:space="preserve">able </w:t>
      </w:r>
      <w:r w:rsidR="000A1ACA" w:rsidRPr="000A1ACA">
        <w:rPr>
          <w:rFonts w:ascii="Aptos" w:eastAsia="Times New Roman" w:hAnsi="Aptos" w:cs="Calibri"/>
          <w:b/>
          <w:color w:val="C00000"/>
          <w:sz w:val="24"/>
          <w:szCs w:val="24"/>
          <w:lang w:val="en-US"/>
        </w:rPr>
        <w:t xml:space="preserve">and provided by the speakers and scientific committee </w:t>
      </w:r>
    </w:p>
    <w:p w14:paraId="7A9AFEAF" w14:textId="0F5E5D83" w:rsidR="00284BDB" w:rsidRPr="000A1ACA" w:rsidRDefault="00284BDB" w:rsidP="00284BDB">
      <w:pPr>
        <w:rPr>
          <w:rFonts w:ascii="Aptos" w:hAnsi="Aptos"/>
          <w:color w:val="212121"/>
          <w:lang w:val="en-US"/>
        </w:rPr>
      </w:pPr>
      <w:r w:rsidRPr="000A1ACA">
        <w:rPr>
          <w:rFonts w:ascii="Aptos" w:eastAsia="Times New Roman" w:hAnsi="Aptos" w:cs="Calibri"/>
          <w:b/>
          <w:color w:val="212121"/>
          <w:lang w:val="en-US"/>
        </w:rPr>
        <w:t>Henrik SAUGMANDSGAARD</w:t>
      </w:r>
      <w:r w:rsidRPr="000A1ACA">
        <w:rPr>
          <w:rFonts w:ascii="Aptos" w:eastAsia="Times New Roman" w:hAnsi="Aptos" w:cs="Calibri"/>
          <w:color w:val="212121"/>
          <w:lang w:val="en-US"/>
        </w:rPr>
        <w:t xml:space="preserve"> </w:t>
      </w:r>
      <w:r w:rsidRPr="000A1ACA">
        <w:rPr>
          <w:rFonts w:ascii="Aptos" w:eastAsia="Times New Roman" w:hAnsi="Aptos" w:cs="Calibri"/>
          <w:b/>
          <w:color w:val="212121"/>
          <w:lang w:val="en-US"/>
        </w:rPr>
        <w:t>ØE</w:t>
      </w:r>
      <w:r w:rsidRPr="000A1ACA">
        <w:rPr>
          <w:rFonts w:ascii="Aptos" w:hAnsi="Aptos"/>
          <w:color w:val="212121"/>
          <w:lang w:val="en-GB"/>
        </w:rPr>
        <w:t xml:space="preserve"> </w:t>
      </w:r>
    </w:p>
    <w:p w14:paraId="190BCB5D" w14:textId="02EC18FE" w:rsidR="00956EAA" w:rsidRPr="000A1ACA" w:rsidRDefault="00956EAA" w:rsidP="001C47B3">
      <w:pPr>
        <w:pStyle w:val="Paragraphedeliste"/>
        <w:numPr>
          <w:ilvl w:val="0"/>
          <w:numId w:val="22"/>
        </w:numPr>
        <w:jc w:val="both"/>
        <w:rPr>
          <w:rFonts w:ascii="Aptos" w:eastAsia="Calibri" w:hAnsi="Aptos"/>
          <w:b/>
          <w:bCs/>
          <w:color w:val="C00000"/>
          <w:sz w:val="22"/>
          <w:szCs w:val="22"/>
          <w:lang w:val="en-US"/>
        </w:rPr>
      </w:pPr>
      <w:r w:rsidRPr="000A1ACA">
        <w:rPr>
          <w:rFonts w:ascii="Aptos" w:hAnsi="Aptos"/>
          <w:b/>
          <w:bCs/>
          <w:color w:val="C00000"/>
          <w:sz w:val="22"/>
          <w:szCs w:val="22"/>
          <w:lang w:val="en-US"/>
        </w:rPr>
        <w:t xml:space="preserve">C-59/19, </w:t>
      </w:r>
      <w:proofErr w:type="spellStart"/>
      <w:r w:rsidRPr="000A1ACA">
        <w:rPr>
          <w:rFonts w:ascii="Aptos" w:hAnsi="Aptos"/>
          <w:b/>
          <w:bCs/>
          <w:color w:val="C00000"/>
          <w:sz w:val="22"/>
          <w:szCs w:val="22"/>
          <w:lang w:val="en-US"/>
        </w:rPr>
        <w:t>Wikingerhof</w:t>
      </w:r>
      <w:proofErr w:type="spellEnd"/>
      <w:r w:rsidRPr="000A1ACA">
        <w:rPr>
          <w:rFonts w:ascii="Aptos" w:eastAsia="Calibri" w:hAnsi="Aptos"/>
          <w:b/>
          <w:bCs/>
          <w:color w:val="C00000"/>
          <w:sz w:val="22"/>
          <w:szCs w:val="22"/>
          <w:lang w:val="en-US"/>
        </w:rPr>
        <w:t xml:space="preserve"> </w:t>
      </w:r>
    </w:p>
    <w:p w14:paraId="6B65BC84" w14:textId="2A9B709E" w:rsidR="00956EAA" w:rsidRPr="000A1ACA" w:rsidRDefault="000A1ACA" w:rsidP="000A1ACA">
      <w:pPr>
        <w:pStyle w:val="Paragraphedeliste"/>
        <w:numPr>
          <w:ilvl w:val="0"/>
          <w:numId w:val="23"/>
        </w:numPr>
        <w:ind w:left="1134"/>
        <w:jc w:val="both"/>
        <w:rPr>
          <w:rFonts w:ascii="Aptos" w:eastAsia="Times New Roman" w:hAnsi="Aptos" w:cs="Calibri"/>
          <w:bCs/>
          <w:sz w:val="22"/>
          <w:szCs w:val="22"/>
          <w:lang w:val="en-US"/>
        </w:rPr>
      </w:pPr>
      <w:hyperlink r:id="rId9" w:history="1">
        <w:r w:rsidRPr="000A1ACA">
          <w:rPr>
            <w:rStyle w:val="Lienhypertexte"/>
            <w:rFonts w:ascii="Aptos" w:eastAsia="Times New Roman" w:hAnsi="Aptos" w:cs="Calibri"/>
            <w:bCs/>
            <w:sz w:val="22"/>
            <w:szCs w:val="22"/>
            <w:lang w:val="en-US"/>
          </w:rPr>
          <w:t>https://curia.europa.eu/juris/document/document.jsf;jsessionid=D5EC9A3ECFE0E3941D9649B5B3D975DE?text=&amp;docid=234206&amp;pageIndex=0&amp;doclang=EN&amp;mode=lst&amp;dir=&amp;occ=first&amp;part=1&amp;cid=8113619</w:t>
        </w:r>
      </w:hyperlink>
    </w:p>
    <w:p w14:paraId="032D8FAE" w14:textId="47477A64" w:rsidR="00956EAA" w:rsidRPr="000A1ACA" w:rsidRDefault="00956EAA" w:rsidP="000A1ACA">
      <w:pPr>
        <w:pStyle w:val="Paragraphedeliste"/>
        <w:numPr>
          <w:ilvl w:val="0"/>
          <w:numId w:val="23"/>
        </w:numPr>
        <w:ind w:left="1134"/>
        <w:jc w:val="both"/>
        <w:rPr>
          <w:rFonts w:ascii="Aptos" w:eastAsia="Times New Roman" w:hAnsi="Aptos" w:cs="Calibri"/>
          <w:bCs/>
          <w:sz w:val="22"/>
          <w:szCs w:val="22"/>
          <w:lang w:val="en-US"/>
        </w:rPr>
      </w:pPr>
      <w:r w:rsidRPr="000A1ACA">
        <w:rPr>
          <w:rFonts w:ascii="Aptos" w:eastAsia="Times New Roman" w:hAnsi="Aptos" w:cs="Calibri"/>
          <w:bCs/>
          <w:sz w:val="22"/>
          <w:szCs w:val="22"/>
          <w:lang w:val="en-US"/>
        </w:rPr>
        <w:t xml:space="preserve">National decision following the CJEU’S one: </w:t>
      </w:r>
      <w:hyperlink r:id="rId10" w:history="1">
        <w:r w:rsidRPr="000A1ACA">
          <w:rPr>
            <w:rStyle w:val="Lienhypertexte"/>
            <w:rFonts w:ascii="Aptos" w:eastAsia="Times New Roman" w:hAnsi="Aptos" w:cs="Calibri"/>
            <w:bCs/>
            <w:sz w:val="22"/>
            <w:szCs w:val="22"/>
            <w:lang w:val="en-US"/>
          </w:rPr>
          <w:t>https://juris.bundesgerichtshof.de/cgi-bin/rechtsprechung/document.py?Gericht=bgh&amp;Art=en&amp;sid=6254bd5e0dda2042f911700a25a667de&amp;nr=118030&amp;anz=1&amp;pos=0</w:t>
        </w:r>
      </w:hyperlink>
    </w:p>
    <w:p w14:paraId="1816F2D5" w14:textId="48838FCF" w:rsidR="00956EAA" w:rsidRPr="000A1ACA" w:rsidRDefault="00956EAA" w:rsidP="001C47B3">
      <w:pPr>
        <w:pStyle w:val="Paragraphedeliste"/>
        <w:numPr>
          <w:ilvl w:val="0"/>
          <w:numId w:val="22"/>
        </w:numPr>
        <w:jc w:val="both"/>
        <w:rPr>
          <w:rFonts w:ascii="Aptos" w:eastAsia="Times New Roman" w:hAnsi="Aptos" w:cs="Calibri"/>
          <w:b/>
          <w:bCs/>
          <w:color w:val="C00000"/>
          <w:sz w:val="22"/>
          <w:szCs w:val="22"/>
          <w:lang w:val="de-CH"/>
        </w:rPr>
      </w:pPr>
      <w:r w:rsidRPr="000A1ACA">
        <w:rPr>
          <w:rFonts w:ascii="Aptos" w:hAnsi="Aptos"/>
          <w:b/>
          <w:bCs/>
          <w:color w:val="C00000"/>
          <w:sz w:val="22"/>
          <w:szCs w:val="22"/>
          <w:lang w:val="de-CH"/>
        </w:rPr>
        <w:t xml:space="preserve">C-422/20, </w:t>
      </w:r>
      <w:r w:rsidRPr="000A1ACA">
        <w:rPr>
          <w:rFonts w:ascii="Aptos" w:hAnsi="Aptos"/>
          <w:b/>
          <w:bCs/>
          <w:i/>
          <w:iCs/>
          <w:color w:val="C00000"/>
          <w:sz w:val="22"/>
          <w:szCs w:val="22"/>
          <w:lang w:val="de-CH"/>
        </w:rPr>
        <w:t>HRVATSKE ŠUME</w:t>
      </w:r>
    </w:p>
    <w:p w14:paraId="18649FCF" w14:textId="1E78A739" w:rsidR="00956EAA" w:rsidRPr="000A1ACA" w:rsidRDefault="000A1ACA" w:rsidP="001C47B3">
      <w:pPr>
        <w:pStyle w:val="Paragraphedeliste"/>
        <w:ind w:left="720"/>
        <w:jc w:val="both"/>
        <w:rPr>
          <w:rFonts w:ascii="Aptos" w:eastAsia="Times New Roman" w:hAnsi="Aptos" w:cs="Calibri"/>
          <w:bCs/>
          <w:sz w:val="22"/>
          <w:szCs w:val="22"/>
          <w:lang w:val="de-CH"/>
        </w:rPr>
      </w:pPr>
      <w:hyperlink r:id="rId11" w:history="1">
        <w:r w:rsidRPr="000A1ACA">
          <w:rPr>
            <w:rStyle w:val="Lienhypertexte"/>
            <w:rFonts w:ascii="Aptos" w:eastAsia="Times New Roman" w:hAnsi="Aptos" w:cs="Calibri"/>
            <w:bCs/>
            <w:sz w:val="22"/>
            <w:szCs w:val="22"/>
            <w:lang w:val="de-CH"/>
          </w:rPr>
          <w:t>https://eur-lex.europa.eu/legal-content/EN/TXT/HTML/?uri=CELEX:62020CJ0242&amp;qid=1659500492639</w:t>
        </w:r>
      </w:hyperlink>
      <w:r w:rsidRPr="000A1ACA">
        <w:rPr>
          <w:rFonts w:ascii="Aptos" w:eastAsia="Times New Roman" w:hAnsi="Aptos" w:cs="Calibri"/>
          <w:bCs/>
          <w:sz w:val="22"/>
          <w:szCs w:val="22"/>
          <w:lang w:val="de-CH"/>
        </w:rPr>
        <w:t xml:space="preserve"> </w:t>
      </w:r>
    </w:p>
    <w:p w14:paraId="1E3F79BB" w14:textId="602C44AE" w:rsidR="00F47655" w:rsidRPr="000A1ACA" w:rsidRDefault="00F47655" w:rsidP="001C47B3">
      <w:pPr>
        <w:pStyle w:val="Paragraphedeliste"/>
        <w:numPr>
          <w:ilvl w:val="0"/>
          <w:numId w:val="22"/>
        </w:numPr>
        <w:jc w:val="both"/>
        <w:rPr>
          <w:rFonts w:ascii="Aptos" w:eastAsia="Calibri" w:hAnsi="Aptos"/>
          <w:b/>
          <w:bCs/>
          <w:color w:val="C00000"/>
          <w:sz w:val="22"/>
          <w:szCs w:val="22"/>
          <w:lang w:val="de-CH"/>
        </w:rPr>
      </w:pPr>
      <w:r w:rsidRPr="000A1ACA">
        <w:rPr>
          <w:rFonts w:ascii="Aptos" w:hAnsi="Aptos"/>
          <w:b/>
          <w:bCs/>
          <w:color w:val="C00000"/>
          <w:sz w:val="22"/>
          <w:szCs w:val="22"/>
          <w:lang w:val="de-CH"/>
        </w:rPr>
        <w:t>C-603/1,7 Bosworth and Hurley</w:t>
      </w:r>
    </w:p>
    <w:p w14:paraId="1DB25828" w14:textId="4FB9DDBE" w:rsidR="00956EAA" w:rsidRPr="000A1ACA" w:rsidRDefault="000A1ACA" w:rsidP="001C47B3">
      <w:pPr>
        <w:pStyle w:val="Paragraphedeliste"/>
        <w:ind w:left="720"/>
        <w:jc w:val="both"/>
        <w:rPr>
          <w:rFonts w:ascii="Aptos" w:eastAsia="Times New Roman" w:hAnsi="Aptos" w:cs="Calibri"/>
          <w:bCs/>
          <w:sz w:val="22"/>
          <w:szCs w:val="22"/>
          <w:lang w:val="de-CH"/>
        </w:rPr>
      </w:pPr>
      <w:hyperlink r:id="rId12" w:history="1">
        <w:r w:rsidRPr="000A1ACA">
          <w:rPr>
            <w:rStyle w:val="Lienhypertexte"/>
            <w:rFonts w:ascii="Aptos" w:eastAsia="Times New Roman" w:hAnsi="Aptos" w:cs="Calibri"/>
            <w:bCs/>
            <w:sz w:val="22"/>
            <w:szCs w:val="22"/>
            <w:lang w:val="de-CH"/>
          </w:rPr>
          <w:t>https://curia.europa.eu/juris/document/document.jsf?text=&amp;docid=212908&amp;pageIndex=0&amp;doclang=EN&amp;mode=lst&amp;dir=&amp;occ=first&amp;part=1&amp;cid=8115871</w:t>
        </w:r>
      </w:hyperlink>
      <w:r w:rsidRPr="000A1ACA">
        <w:rPr>
          <w:rFonts w:ascii="Aptos" w:eastAsia="Times New Roman" w:hAnsi="Aptos" w:cs="Calibri"/>
          <w:bCs/>
          <w:sz w:val="22"/>
          <w:szCs w:val="22"/>
          <w:lang w:val="de-CH"/>
        </w:rPr>
        <w:t xml:space="preserve"> </w:t>
      </w:r>
    </w:p>
    <w:p w14:paraId="5BDB398B" w14:textId="0A0A8D08" w:rsidR="00956EAA" w:rsidRPr="000A1ACA" w:rsidRDefault="00284BDB" w:rsidP="00956EAA">
      <w:pPr>
        <w:jc w:val="both"/>
        <w:rPr>
          <w:rFonts w:ascii="Aptos" w:eastAsia="Times New Roman" w:hAnsi="Aptos" w:cs="Calibri"/>
          <w:bCs/>
          <w:lang w:val="de-CH"/>
        </w:rPr>
      </w:pPr>
      <w:r w:rsidRPr="000A1ACA">
        <w:rPr>
          <w:rFonts w:ascii="Aptos" w:hAnsi="Aptos" w:cs="Calibri"/>
          <w:b/>
          <w:bCs/>
          <w:lang w:val="en-CA"/>
        </w:rPr>
        <w:t>Asya OSTROUKH</w:t>
      </w:r>
    </w:p>
    <w:p w14:paraId="57DC3662" w14:textId="77777777" w:rsidR="00284BDB" w:rsidRPr="000A1ACA" w:rsidRDefault="00284BDB" w:rsidP="00284BDB">
      <w:pPr>
        <w:pStyle w:val="Paragraphedeliste"/>
        <w:numPr>
          <w:ilvl w:val="0"/>
          <w:numId w:val="17"/>
        </w:numPr>
        <w:jc w:val="both"/>
        <w:rPr>
          <w:rFonts w:ascii="Aptos" w:hAnsi="Aptos" w:cs="Calibri"/>
          <w:b/>
          <w:bCs/>
          <w:color w:val="C00000"/>
          <w:sz w:val="22"/>
          <w:szCs w:val="22"/>
          <w:lang w:val="en-US"/>
        </w:rPr>
      </w:pPr>
      <w:r w:rsidRPr="000A1ACA">
        <w:rPr>
          <w:rFonts w:ascii="Aptos" w:hAnsi="Aptos" w:cs="Calibri"/>
          <w:b/>
          <w:bCs/>
          <w:color w:val="C00000"/>
          <w:sz w:val="22"/>
          <w:szCs w:val="22"/>
          <w:lang w:val="en-US"/>
        </w:rPr>
        <w:t>Trinidad Cement Ltd and TCL Guyana Inc v Co-operative Republic of Guyana (2009)</w:t>
      </w:r>
    </w:p>
    <w:p w14:paraId="7710B862" w14:textId="32AE084B" w:rsidR="00956EAA" w:rsidRPr="000A1ACA" w:rsidRDefault="00284BDB" w:rsidP="00284BDB">
      <w:pPr>
        <w:pStyle w:val="Paragraphedeliste"/>
        <w:ind w:left="720"/>
        <w:jc w:val="both"/>
        <w:rPr>
          <w:rFonts w:ascii="Aptos" w:eastAsia="Times New Roman" w:hAnsi="Aptos" w:cs="Calibri"/>
          <w:bCs/>
          <w:sz w:val="22"/>
          <w:szCs w:val="22"/>
          <w:u w:val="single"/>
          <w:lang w:val="en-US"/>
        </w:rPr>
      </w:pPr>
      <w:hyperlink r:id="rId13" w:history="1">
        <w:r w:rsidRPr="000A1ACA">
          <w:rPr>
            <w:rStyle w:val="Lienhypertexte"/>
            <w:rFonts w:ascii="Aptos" w:eastAsia="Times New Roman" w:hAnsi="Aptos" w:cs="Calibri"/>
            <w:bCs/>
            <w:sz w:val="22"/>
            <w:szCs w:val="22"/>
            <w:lang w:val="en-US"/>
          </w:rPr>
          <w:t>https://ccj.org/wp-content/uploads/2021/08/2009-CCJ-5-TCL-v-Guyana-2_CD.pdf</w:t>
        </w:r>
      </w:hyperlink>
      <w:r w:rsidR="00AB423A" w:rsidRPr="000A1ACA">
        <w:rPr>
          <w:rFonts w:ascii="Aptos" w:eastAsia="Times New Roman" w:hAnsi="Aptos" w:cs="Calibri"/>
          <w:bCs/>
          <w:sz w:val="22"/>
          <w:szCs w:val="22"/>
          <w:u w:val="single"/>
          <w:lang w:val="en-US"/>
        </w:rPr>
        <w:t xml:space="preserve"> </w:t>
      </w:r>
    </w:p>
    <w:p w14:paraId="7CE41A8C" w14:textId="53B8592F" w:rsidR="00284BDB" w:rsidRPr="000A1ACA" w:rsidRDefault="00284BDB" w:rsidP="00284BDB">
      <w:pPr>
        <w:pStyle w:val="Paragraphedeliste"/>
        <w:numPr>
          <w:ilvl w:val="0"/>
          <w:numId w:val="17"/>
        </w:numPr>
        <w:jc w:val="both"/>
        <w:rPr>
          <w:rFonts w:ascii="Aptos" w:hAnsi="Aptos" w:cs="Calibri"/>
          <w:b/>
          <w:bCs/>
          <w:color w:val="C00000"/>
          <w:sz w:val="22"/>
          <w:szCs w:val="22"/>
          <w:lang w:val="en-US"/>
        </w:rPr>
      </w:pPr>
      <w:r w:rsidRPr="000A1ACA">
        <w:rPr>
          <w:rFonts w:ascii="Aptos" w:hAnsi="Aptos" w:cs="Calibri"/>
          <w:b/>
          <w:bCs/>
          <w:color w:val="C00000"/>
          <w:sz w:val="22"/>
          <w:szCs w:val="22"/>
          <w:lang w:val="en-US"/>
        </w:rPr>
        <w:t>The State of Belize v The State of Trinidad and Tobago (2014)</w:t>
      </w:r>
    </w:p>
    <w:p w14:paraId="37BA11C1" w14:textId="5876480C" w:rsidR="003E6D31" w:rsidRDefault="003E6D31" w:rsidP="003E6D31">
      <w:pPr>
        <w:pStyle w:val="Paragraphedeliste"/>
        <w:ind w:left="720"/>
        <w:jc w:val="both"/>
        <w:rPr>
          <w:rFonts w:ascii="Aptos" w:hAnsi="Aptos" w:cs="Calibri"/>
          <w:sz w:val="22"/>
          <w:szCs w:val="22"/>
          <w:lang w:val="en-US"/>
        </w:rPr>
      </w:pPr>
      <w:hyperlink r:id="rId14" w:history="1">
        <w:r w:rsidRPr="004678DB">
          <w:rPr>
            <w:rStyle w:val="Lienhypertexte"/>
            <w:rFonts w:ascii="Aptos" w:hAnsi="Aptos" w:cs="Calibri"/>
            <w:sz w:val="22"/>
            <w:szCs w:val="22"/>
            <w:lang w:val="en-US"/>
          </w:rPr>
          <w:t>https://ccj.org/wp-content/uploads/2021/08/2014-CCJ-2-Tomlinson-v-Belize-1_CD.pdf</w:t>
        </w:r>
      </w:hyperlink>
    </w:p>
    <w:p w14:paraId="372FA8A8" w14:textId="28748C3E" w:rsidR="00284BDB" w:rsidRPr="003E6D31" w:rsidRDefault="00284BDB" w:rsidP="003E6D31">
      <w:pPr>
        <w:pStyle w:val="Paragraphedeliste"/>
        <w:numPr>
          <w:ilvl w:val="0"/>
          <w:numId w:val="17"/>
        </w:numPr>
        <w:jc w:val="both"/>
        <w:rPr>
          <w:rFonts w:ascii="Aptos" w:hAnsi="Aptos" w:cs="Calibri"/>
          <w:b/>
          <w:bCs/>
          <w:color w:val="C00000"/>
          <w:lang w:val="en-US"/>
        </w:rPr>
      </w:pPr>
      <w:r w:rsidRPr="003E6D31">
        <w:rPr>
          <w:rFonts w:ascii="Aptos" w:hAnsi="Aptos" w:cs="Calibri"/>
          <w:b/>
          <w:bCs/>
          <w:color w:val="C00000"/>
          <w:lang w:val="en-US"/>
        </w:rPr>
        <w:t>Hummingbird Rice Mills Ltd v Suriname (2012)</w:t>
      </w:r>
    </w:p>
    <w:p w14:paraId="0F07F543" w14:textId="1ED1E88B" w:rsidR="00284BDB" w:rsidRPr="000A1ACA" w:rsidRDefault="00284BDB" w:rsidP="00284BDB">
      <w:pPr>
        <w:pStyle w:val="Paragraphedeliste"/>
        <w:ind w:left="720"/>
        <w:jc w:val="both"/>
        <w:rPr>
          <w:rFonts w:ascii="Aptos" w:hAnsi="Aptos" w:cs="Calibri"/>
          <w:color w:val="C00000"/>
          <w:sz w:val="22"/>
          <w:szCs w:val="22"/>
          <w:lang w:val="en-US"/>
        </w:rPr>
      </w:pPr>
      <w:hyperlink r:id="rId15" w:history="1">
        <w:r w:rsidRPr="000A1ACA">
          <w:rPr>
            <w:rStyle w:val="Lienhypertexte"/>
            <w:rFonts w:ascii="Aptos" w:hAnsi="Aptos" w:cs="Calibri"/>
            <w:sz w:val="22"/>
            <w:szCs w:val="22"/>
            <w:lang w:val="en-US"/>
          </w:rPr>
          <w:t>https://ccj.org/wp-content/uploads/2021/08/2012-CCJ-2-Hummingbird-Rice-Mills-v-Suriname-2_CD.pdf</w:t>
        </w:r>
      </w:hyperlink>
      <w:r w:rsidRPr="000A1ACA">
        <w:rPr>
          <w:rFonts w:ascii="Aptos" w:hAnsi="Aptos" w:cs="Calibri"/>
          <w:color w:val="C00000"/>
          <w:sz w:val="22"/>
          <w:szCs w:val="22"/>
          <w:lang w:val="en-US"/>
        </w:rPr>
        <w:t xml:space="preserve"> </w:t>
      </w:r>
    </w:p>
    <w:p w14:paraId="5219071A" w14:textId="77777777" w:rsidR="00284BDB" w:rsidRPr="000A1ACA" w:rsidRDefault="00284BDB" w:rsidP="00284BDB">
      <w:pPr>
        <w:pStyle w:val="Paragraphedeliste"/>
        <w:numPr>
          <w:ilvl w:val="0"/>
          <w:numId w:val="17"/>
        </w:numPr>
        <w:jc w:val="both"/>
        <w:rPr>
          <w:rFonts w:ascii="Aptos" w:hAnsi="Aptos" w:cs="Calibri"/>
          <w:b/>
          <w:bCs/>
          <w:color w:val="C00000"/>
          <w:sz w:val="22"/>
          <w:szCs w:val="22"/>
          <w:lang w:val="en-US"/>
        </w:rPr>
      </w:pPr>
      <w:r w:rsidRPr="000A1ACA">
        <w:rPr>
          <w:rFonts w:ascii="Aptos" w:hAnsi="Aptos" w:cs="Calibri"/>
          <w:b/>
          <w:bCs/>
          <w:color w:val="C00000"/>
          <w:sz w:val="22"/>
          <w:szCs w:val="22"/>
          <w:lang w:val="en-US"/>
        </w:rPr>
        <w:t xml:space="preserve">BCB Holdings Ltd and Belize Bank Ltd v Attorney General of Belize (2013) </w:t>
      </w:r>
    </w:p>
    <w:p w14:paraId="25325214" w14:textId="423A8930" w:rsidR="00284BDB" w:rsidRDefault="003E6D31" w:rsidP="00284BDB">
      <w:pPr>
        <w:pStyle w:val="Paragraphedeliste"/>
        <w:ind w:left="720"/>
        <w:jc w:val="both"/>
        <w:rPr>
          <w:rFonts w:ascii="Aptos" w:hAnsi="Aptos" w:cs="Calibri"/>
          <w:sz w:val="22"/>
          <w:szCs w:val="22"/>
          <w:lang w:val="en-CA"/>
        </w:rPr>
      </w:pPr>
      <w:hyperlink r:id="rId16" w:history="1">
        <w:r w:rsidRPr="004678DB">
          <w:rPr>
            <w:rStyle w:val="Lienhypertexte"/>
            <w:rFonts w:ascii="Aptos" w:hAnsi="Aptos" w:cs="Calibri"/>
            <w:sz w:val="22"/>
            <w:szCs w:val="22"/>
            <w:lang w:val="en-CA"/>
          </w:rPr>
          <w:t>https://ccj.org/wp-content/uploads/2021/08/2009-CCJ-5-TCL-v-Guyana-2_CD.pdf</w:t>
        </w:r>
      </w:hyperlink>
    </w:p>
    <w:p w14:paraId="1C31DEB9" w14:textId="6DF30036" w:rsidR="001905E0" w:rsidRPr="003E6D31" w:rsidRDefault="00AB423A" w:rsidP="003E6D31">
      <w:pPr>
        <w:pStyle w:val="Paragraphedeliste"/>
        <w:numPr>
          <w:ilvl w:val="0"/>
          <w:numId w:val="17"/>
        </w:numPr>
        <w:jc w:val="both"/>
        <w:rPr>
          <w:rFonts w:ascii="Aptos" w:hAnsi="Aptos" w:cs="Calibri"/>
          <w:b/>
          <w:bCs/>
          <w:color w:val="C00000"/>
          <w:lang w:val="en-US"/>
        </w:rPr>
      </w:pPr>
      <w:r w:rsidRPr="003E6D31">
        <w:rPr>
          <w:rFonts w:ascii="Aptos" w:hAnsi="Aptos" w:cs="Calibri"/>
          <w:b/>
          <w:bCs/>
          <w:color w:val="C00000"/>
          <w:lang w:val="en-US"/>
        </w:rPr>
        <w:t>Belize Bank Ltd v Attorney General of Belize (2017)</w:t>
      </w:r>
    </w:p>
    <w:p w14:paraId="6E3A419B" w14:textId="631A71E9" w:rsidR="00AB423A" w:rsidRPr="000A1ACA" w:rsidRDefault="00AB423A" w:rsidP="00284BDB">
      <w:pPr>
        <w:pStyle w:val="Paragraphedeliste"/>
        <w:ind w:left="720"/>
        <w:jc w:val="both"/>
        <w:rPr>
          <w:rFonts w:ascii="Aptos" w:hAnsi="Aptos" w:cs="Calibri"/>
          <w:color w:val="C00000"/>
          <w:sz w:val="22"/>
          <w:szCs w:val="22"/>
          <w:lang w:val="en-US"/>
        </w:rPr>
      </w:pPr>
      <w:hyperlink r:id="rId17" w:history="1">
        <w:r w:rsidRPr="000A1ACA">
          <w:rPr>
            <w:rStyle w:val="Lienhypertexte"/>
            <w:rFonts w:ascii="Aptos" w:hAnsi="Aptos" w:cs="Calibri"/>
            <w:sz w:val="22"/>
            <w:szCs w:val="22"/>
            <w:lang w:val="en-US"/>
          </w:rPr>
          <w:t>Belize-Bank-Limited-v-Attorney-General-of-Belize-2017-CCJ-18-AJ-1.pdf</w:t>
        </w:r>
      </w:hyperlink>
    </w:p>
    <w:p w14:paraId="610CF0C5" w14:textId="1142F4B9" w:rsidR="00284BDB" w:rsidRPr="00284BDB" w:rsidRDefault="00284BDB" w:rsidP="00284BDB">
      <w:pPr>
        <w:jc w:val="both"/>
        <w:rPr>
          <w:rFonts w:ascii="Aptos" w:hAnsi="Aptos" w:cs="Calibri"/>
          <w:b/>
          <w:bCs/>
          <w:lang w:val="it-CH"/>
        </w:rPr>
      </w:pPr>
      <w:proofErr w:type="spellStart"/>
      <w:r w:rsidRPr="00284BDB">
        <w:rPr>
          <w:rFonts w:ascii="Aptos" w:hAnsi="Aptos" w:cs="Calibri"/>
          <w:b/>
          <w:bCs/>
          <w:lang w:val="it-CH"/>
        </w:rPr>
        <w:t>Özlem</w:t>
      </w:r>
      <w:proofErr w:type="spellEnd"/>
      <w:r w:rsidRPr="00284BDB">
        <w:rPr>
          <w:rFonts w:ascii="Aptos" w:hAnsi="Aptos" w:cs="Calibri"/>
          <w:b/>
          <w:bCs/>
          <w:lang w:val="it-CH"/>
        </w:rPr>
        <w:t xml:space="preserve"> BURDURLU AHLAT and Ezgi Fulya AKKUŞ</w:t>
      </w:r>
    </w:p>
    <w:p w14:paraId="3EABA885" w14:textId="77777777" w:rsidR="001C47B3" w:rsidRPr="000A1ACA" w:rsidRDefault="00284BDB" w:rsidP="00284BDB">
      <w:pPr>
        <w:pStyle w:val="Paragraphedeliste"/>
        <w:numPr>
          <w:ilvl w:val="0"/>
          <w:numId w:val="18"/>
        </w:numPr>
        <w:jc w:val="both"/>
        <w:rPr>
          <w:rFonts w:ascii="Aptos" w:hAnsi="Aptos" w:cs="Calibri"/>
          <w:b/>
          <w:bCs/>
          <w:color w:val="C00000"/>
          <w:sz w:val="22"/>
          <w:szCs w:val="22"/>
          <w:lang w:val="en-US"/>
        </w:rPr>
      </w:pPr>
      <w:r w:rsidRPr="000A1ACA">
        <w:rPr>
          <w:rFonts w:ascii="Aptos" w:hAnsi="Aptos" w:cs="Calibri"/>
          <w:b/>
          <w:bCs/>
          <w:color w:val="C00000"/>
          <w:sz w:val="22"/>
          <w:szCs w:val="22"/>
          <w:lang w:val="en-US"/>
        </w:rPr>
        <w:t xml:space="preserve">English translation of the Turkish Private International and International Procedural Law Act (Please note that this version of the translation does not contain the amendments done on the Article 27 after </w:t>
      </w:r>
      <w:proofErr w:type="gramStart"/>
      <w:r w:rsidRPr="000A1ACA">
        <w:rPr>
          <w:rFonts w:ascii="Aptos" w:hAnsi="Aptos" w:cs="Calibri"/>
          <w:b/>
          <w:bCs/>
          <w:color w:val="C00000"/>
          <w:sz w:val="22"/>
          <w:szCs w:val="22"/>
          <w:lang w:val="en-US"/>
        </w:rPr>
        <w:t>June,</w:t>
      </w:r>
      <w:proofErr w:type="gramEnd"/>
      <w:r w:rsidRPr="000A1ACA">
        <w:rPr>
          <w:rFonts w:ascii="Aptos" w:hAnsi="Aptos" w:cs="Calibri"/>
          <w:b/>
          <w:bCs/>
          <w:color w:val="C00000"/>
          <w:sz w:val="22"/>
          <w:szCs w:val="22"/>
          <w:lang w:val="en-US"/>
        </w:rPr>
        <w:t xml:space="preserve"> 2025)</w:t>
      </w:r>
    </w:p>
    <w:p w14:paraId="0A5D3340" w14:textId="63AEA98E" w:rsidR="00284BDB" w:rsidRPr="000A1ACA" w:rsidRDefault="00284BDB" w:rsidP="001C47B3">
      <w:pPr>
        <w:pStyle w:val="Paragraphedeliste"/>
        <w:ind w:left="720"/>
        <w:jc w:val="both"/>
        <w:rPr>
          <w:rFonts w:ascii="Aptos" w:hAnsi="Aptos" w:cs="Calibri"/>
          <w:color w:val="C00000"/>
          <w:sz w:val="22"/>
          <w:szCs w:val="22"/>
          <w:lang w:val="en-US"/>
        </w:rPr>
      </w:pPr>
      <w:r w:rsidRPr="000A1ACA">
        <w:rPr>
          <w:rFonts w:ascii="Aptos" w:hAnsi="Aptos" w:cs="Calibri"/>
          <w:color w:val="C00000"/>
          <w:sz w:val="22"/>
          <w:szCs w:val="22"/>
          <w:lang w:val="en-US"/>
        </w:rPr>
        <w:t xml:space="preserve"> </w:t>
      </w:r>
      <w:hyperlink r:id="rId18" w:tgtFrame="_blank" w:history="1">
        <w:r w:rsidRPr="000A1ACA">
          <w:rPr>
            <w:rStyle w:val="Lienhypertexte"/>
            <w:rFonts w:ascii="Aptos" w:hAnsi="Aptos" w:cs="Calibri"/>
            <w:sz w:val="22"/>
            <w:szCs w:val="22"/>
            <w:lang w:val="en-US"/>
          </w:rPr>
          <w:t>https://rm.coe.int/law-on-international-private-and-procedure-law/1680a3bcae</w:t>
        </w:r>
      </w:hyperlink>
    </w:p>
    <w:p w14:paraId="55058FFD" w14:textId="77777777" w:rsidR="001C47B3" w:rsidRPr="000A1ACA" w:rsidRDefault="00284BDB" w:rsidP="00284BDB">
      <w:pPr>
        <w:pStyle w:val="Paragraphedeliste"/>
        <w:numPr>
          <w:ilvl w:val="0"/>
          <w:numId w:val="18"/>
        </w:numPr>
        <w:jc w:val="both"/>
        <w:rPr>
          <w:rFonts w:ascii="Aptos" w:hAnsi="Aptos" w:cs="Calibri"/>
          <w:b/>
          <w:bCs/>
          <w:color w:val="C00000"/>
          <w:sz w:val="22"/>
          <w:szCs w:val="22"/>
          <w:lang w:val="en-US"/>
        </w:rPr>
      </w:pPr>
      <w:r w:rsidRPr="000A1ACA">
        <w:rPr>
          <w:rFonts w:ascii="Aptos" w:hAnsi="Aptos" w:cs="Calibri"/>
          <w:b/>
          <w:bCs/>
          <w:color w:val="C00000"/>
          <w:sz w:val="22"/>
          <w:szCs w:val="22"/>
          <w:lang w:val="en-US"/>
        </w:rPr>
        <w:lastRenderedPageBreak/>
        <w:t>Information on the role of the Turkish Constitutional Court, see the official page in English</w:t>
      </w:r>
    </w:p>
    <w:p w14:paraId="3483D925" w14:textId="5171B194" w:rsidR="00284BDB" w:rsidRPr="000A1ACA" w:rsidRDefault="00284BDB" w:rsidP="001C47B3">
      <w:pPr>
        <w:pStyle w:val="Paragraphedeliste"/>
        <w:ind w:left="720"/>
        <w:jc w:val="both"/>
        <w:rPr>
          <w:rFonts w:ascii="Aptos" w:hAnsi="Aptos" w:cs="Calibri"/>
          <w:color w:val="C00000"/>
          <w:sz w:val="22"/>
          <w:szCs w:val="22"/>
          <w:lang w:val="en-US"/>
        </w:rPr>
      </w:pPr>
      <w:hyperlink r:id="rId19" w:history="1">
        <w:r w:rsidRPr="000A1ACA">
          <w:rPr>
            <w:rStyle w:val="Lienhypertexte"/>
            <w:rFonts w:ascii="Aptos" w:hAnsi="Aptos" w:cs="Calibri"/>
            <w:sz w:val="22"/>
            <w:szCs w:val="22"/>
            <w:lang w:val="en-US"/>
          </w:rPr>
          <w:t>https://www.anayasa.gov.tr/en/home-page/</w:t>
        </w:r>
      </w:hyperlink>
    </w:p>
    <w:p w14:paraId="412E3170" w14:textId="6536212D" w:rsidR="00284BDB" w:rsidRPr="000A1ACA" w:rsidRDefault="00284BDB" w:rsidP="00284BDB">
      <w:pPr>
        <w:pStyle w:val="Paragraphedeliste"/>
        <w:numPr>
          <w:ilvl w:val="0"/>
          <w:numId w:val="18"/>
        </w:numPr>
        <w:jc w:val="both"/>
        <w:rPr>
          <w:rFonts w:ascii="Aptos" w:hAnsi="Aptos" w:cs="Calibri"/>
          <w:b/>
          <w:bCs/>
          <w:color w:val="C00000"/>
          <w:sz w:val="22"/>
          <w:szCs w:val="22"/>
          <w:lang w:val="en-US"/>
        </w:rPr>
      </w:pPr>
      <w:r w:rsidRPr="000A1ACA">
        <w:rPr>
          <w:rFonts w:ascii="Aptos" w:hAnsi="Aptos" w:cs="Calibri"/>
          <w:b/>
          <w:bCs/>
          <w:color w:val="C00000"/>
          <w:sz w:val="22"/>
          <w:szCs w:val="22"/>
          <w:lang w:val="en-US"/>
        </w:rPr>
        <w:t>Unofficial Translation or the Turkish Constitutional Court Decision done with the help of AI Tools and revised by the Authors (</w:t>
      </w:r>
      <w:r w:rsidR="00D25F15" w:rsidRPr="000A1ACA">
        <w:rPr>
          <w:rFonts w:ascii="Aptos" w:hAnsi="Aptos" w:cs="Calibri"/>
          <w:b/>
          <w:bCs/>
          <w:color w:val="C00000"/>
          <w:sz w:val="22"/>
          <w:szCs w:val="22"/>
          <w:lang w:val="en-US"/>
        </w:rPr>
        <w:t xml:space="preserve">Marie Laure, </w:t>
      </w:r>
      <w:proofErr w:type="spellStart"/>
      <w:r w:rsidR="00D25F15" w:rsidRPr="000A1ACA">
        <w:rPr>
          <w:rFonts w:ascii="Aptos" w:hAnsi="Aptos" w:cs="Calibri"/>
          <w:b/>
          <w:bCs/>
          <w:color w:val="C00000"/>
          <w:sz w:val="22"/>
          <w:szCs w:val="22"/>
          <w:lang w:val="en-US"/>
        </w:rPr>
        <w:t>possiamo</w:t>
      </w:r>
      <w:proofErr w:type="spellEnd"/>
      <w:r w:rsidR="00D25F15" w:rsidRPr="000A1ACA">
        <w:rPr>
          <w:rFonts w:ascii="Aptos" w:hAnsi="Aptos" w:cs="Calibri"/>
          <w:b/>
          <w:bCs/>
          <w:color w:val="C00000"/>
          <w:sz w:val="22"/>
          <w:szCs w:val="22"/>
          <w:lang w:val="en-US"/>
        </w:rPr>
        <w:t xml:space="preserve"> </w:t>
      </w:r>
      <w:proofErr w:type="spellStart"/>
      <w:r w:rsidR="00D25F15" w:rsidRPr="000A1ACA">
        <w:rPr>
          <w:rFonts w:ascii="Aptos" w:hAnsi="Aptos" w:cs="Calibri"/>
          <w:b/>
          <w:bCs/>
          <w:color w:val="C00000"/>
          <w:sz w:val="22"/>
          <w:szCs w:val="22"/>
          <w:lang w:val="en-US"/>
        </w:rPr>
        <w:t>caricarla</w:t>
      </w:r>
      <w:proofErr w:type="spellEnd"/>
      <w:r w:rsidR="00D25F15" w:rsidRPr="000A1ACA">
        <w:rPr>
          <w:rFonts w:ascii="Aptos" w:hAnsi="Aptos" w:cs="Calibri"/>
          <w:b/>
          <w:bCs/>
          <w:color w:val="C00000"/>
          <w:sz w:val="22"/>
          <w:szCs w:val="22"/>
          <w:lang w:val="en-US"/>
        </w:rPr>
        <w:t xml:space="preserve"> </w:t>
      </w:r>
      <w:proofErr w:type="spellStart"/>
      <w:r w:rsidR="00D25F15" w:rsidRPr="000A1ACA">
        <w:rPr>
          <w:rFonts w:ascii="Aptos" w:hAnsi="Aptos" w:cs="Calibri"/>
          <w:b/>
          <w:bCs/>
          <w:color w:val="C00000"/>
          <w:sz w:val="22"/>
          <w:szCs w:val="22"/>
          <w:lang w:val="en-US"/>
        </w:rPr>
        <w:t>noi</w:t>
      </w:r>
      <w:proofErr w:type="spellEnd"/>
      <w:r w:rsidR="00D25F15" w:rsidRPr="000A1ACA">
        <w:rPr>
          <w:rFonts w:ascii="Aptos" w:hAnsi="Aptos" w:cs="Calibri"/>
          <w:b/>
          <w:bCs/>
          <w:color w:val="C00000"/>
          <w:sz w:val="22"/>
          <w:szCs w:val="22"/>
          <w:lang w:val="en-US"/>
        </w:rPr>
        <w:t xml:space="preserve">, </w:t>
      </w:r>
      <w:proofErr w:type="spellStart"/>
      <w:r w:rsidR="00D25F15" w:rsidRPr="000A1ACA">
        <w:rPr>
          <w:rFonts w:ascii="Aptos" w:hAnsi="Aptos" w:cs="Calibri"/>
          <w:b/>
          <w:bCs/>
          <w:color w:val="C00000"/>
          <w:sz w:val="22"/>
          <w:szCs w:val="22"/>
          <w:lang w:val="en-US"/>
        </w:rPr>
        <w:t>nel</w:t>
      </w:r>
      <w:proofErr w:type="spellEnd"/>
      <w:r w:rsidR="00D25F15" w:rsidRPr="000A1ACA">
        <w:rPr>
          <w:rFonts w:ascii="Aptos" w:hAnsi="Aptos" w:cs="Calibri"/>
          <w:b/>
          <w:bCs/>
          <w:color w:val="C00000"/>
          <w:sz w:val="22"/>
          <w:szCs w:val="22"/>
          <w:lang w:val="en-US"/>
        </w:rPr>
        <w:t xml:space="preserve"> nostro </w:t>
      </w:r>
      <w:proofErr w:type="spellStart"/>
      <w:r w:rsidR="00D25F15" w:rsidRPr="000A1ACA">
        <w:rPr>
          <w:rFonts w:ascii="Aptos" w:hAnsi="Aptos" w:cs="Calibri"/>
          <w:b/>
          <w:bCs/>
          <w:color w:val="C00000"/>
          <w:sz w:val="22"/>
          <w:szCs w:val="22"/>
          <w:lang w:val="en-US"/>
        </w:rPr>
        <w:t>sito</w:t>
      </w:r>
      <w:proofErr w:type="spellEnd"/>
      <w:r w:rsidR="00D25F15" w:rsidRPr="000A1ACA">
        <w:rPr>
          <w:rFonts w:ascii="Aptos" w:hAnsi="Aptos" w:cs="Calibri"/>
          <w:b/>
          <w:bCs/>
          <w:color w:val="C00000"/>
          <w:sz w:val="22"/>
          <w:szCs w:val="22"/>
          <w:lang w:val="en-US"/>
        </w:rPr>
        <w:t>?</w:t>
      </w:r>
      <w:r w:rsidRPr="000A1ACA">
        <w:rPr>
          <w:rFonts w:ascii="Aptos" w:hAnsi="Aptos" w:cs="Calibri"/>
          <w:b/>
          <w:bCs/>
          <w:color w:val="C00000"/>
          <w:sz w:val="22"/>
          <w:szCs w:val="22"/>
          <w:lang w:val="en-US"/>
        </w:rPr>
        <w:t>)</w:t>
      </w:r>
    </w:p>
    <w:p w14:paraId="3C5F8D5E" w14:textId="30DFA826" w:rsidR="00D25F15" w:rsidRPr="000A1ACA" w:rsidRDefault="00D25F15" w:rsidP="00D25F15">
      <w:pPr>
        <w:jc w:val="both"/>
        <w:rPr>
          <w:rFonts w:ascii="Aptos" w:eastAsia="Times New Roman" w:hAnsi="Aptos" w:cs="Calibri"/>
          <w:b/>
          <w:lang w:val="en-GB"/>
        </w:rPr>
      </w:pPr>
      <w:r w:rsidRPr="000A1ACA">
        <w:rPr>
          <w:rFonts w:ascii="Aptos" w:eastAsia="Times New Roman" w:hAnsi="Aptos" w:cs="Calibri"/>
          <w:b/>
          <w:lang w:val="en-GB"/>
        </w:rPr>
        <w:t>Aygun MAMMADZADA</w:t>
      </w:r>
    </w:p>
    <w:p w14:paraId="7ECDB90B" w14:textId="77777777" w:rsidR="005D4590" w:rsidRPr="000A1ACA" w:rsidRDefault="00D25F15" w:rsidP="005D4590">
      <w:pPr>
        <w:pStyle w:val="Paragraphedeliste"/>
        <w:numPr>
          <w:ilvl w:val="0"/>
          <w:numId w:val="19"/>
        </w:numPr>
        <w:jc w:val="both"/>
        <w:rPr>
          <w:rFonts w:ascii="Aptos" w:hAnsi="Aptos" w:cs="Calibri"/>
          <w:b/>
          <w:bCs/>
          <w:color w:val="C00000"/>
          <w:sz w:val="22"/>
          <w:szCs w:val="22"/>
          <w:lang w:val="en-US"/>
        </w:rPr>
      </w:pPr>
      <w:r w:rsidRPr="000A1ACA">
        <w:rPr>
          <w:rFonts w:ascii="Aptos" w:hAnsi="Aptos" w:cs="Calibri"/>
          <w:b/>
          <w:bCs/>
          <w:color w:val="C00000"/>
          <w:sz w:val="22"/>
          <w:szCs w:val="22"/>
          <w:lang w:val="en-US"/>
        </w:rPr>
        <w:t>AA v Persons Unknown</w:t>
      </w:r>
    </w:p>
    <w:p w14:paraId="33DC76C7" w14:textId="44DED1D7" w:rsidR="003E6D31" w:rsidRPr="003E6D31" w:rsidRDefault="00D25F15" w:rsidP="003E6D31">
      <w:pPr>
        <w:pStyle w:val="Paragraphedeliste"/>
        <w:ind w:left="720"/>
        <w:jc w:val="both"/>
        <w:rPr>
          <w:rFonts w:ascii="Aptos" w:eastAsia="Times New Roman" w:hAnsi="Aptos" w:cs="Calibri"/>
          <w:bCs/>
          <w:sz w:val="22"/>
          <w:szCs w:val="22"/>
          <w:lang w:val="en-US"/>
        </w:rPr>
      </w:pPr>
      <w:r w:rsidRPr="000A1ACA">
        <w:rPr>
          <w:rFonts w:ascii="Aptos" w:eastAsia="Times New Roman" w:hAnsi="Aptos" w:cs="Calibri"/>
          <w:bCs/>
          <w:sz w:val="22"/>
          <w:szCs w:val="22"/>
          <w:lang w:val="en-US"/>
        </w:rPr>
        <w:t xml:space="preserve"> </w:t>
      </w:r>
      <w:hyperlink r:id="rId20" w:history="1">
        <w:r w:rsidR="003E6D31" w:rsidRPr="004678DB">
          <w:rPr>
            <w:rStyle w:val="Lienhypertexte"/>
            <w:rFonts w:ascii="Aptos" w:eastAsia="Times New Roman" w:hAnsi="Aptos" w:cs="Calibri"/>
            <w:bCs/>
            <w:sz w:val="22"/>
            <w:szCs w:val="22"/>
            <w:lang w:val="en-US"/>
          </w:rPr>
          <w:t>https://www.bailii.org/ew/cases/EWHC/Comm/2019/3556.html</w:t>
        </w:r>
      </w:hyperlink>
    </w:p>
    <w:p w14:paraId="6588D67E" w14:textId="48A0CBDA" w:rsidR="005D4590" w:rsidRPr="000A1ACA" w:rsidRDefault="00D25F15" w:rsidP="005D4590">
      <w:pPr>
        <w:pStyle w:val="Paragraphedeliste"/>
        <w:numPr>
          <w:ilvl w:val="0"/>
          <w:numId w:val="19"/>
        </w:numPr>
        <w:jc w:val="both"/>
        <w:rPr>
          <w:rFonts w:ascii="Aptos" w:hAnsi="Aptos" w:cs="Calibri"/>
          <w:b/>
          <w:bCs/>
          <w:color w:val="C00000"/>
          <w:sz w:val="22"/>
          <w:szCs w:val="22"/>
          <w:lang w:val="en-US"/>
        </w:rPr>
      </w:pPr>
      <w:r w:rsidRPr="000A1ACA">
        <w:rPr>
          <w:rFonts w:ascii="Aptos" w:hAnsi="Aptos" w:cs="Calibri"/>
          <w:b/>
          <w:bCs/>
          <w:color w:val="C00000"/>
          <w:sz w:val="22"/>
          <w:szCs w:val="22"/>
          <w:lang w:val="en-US"/>
        </w:rPr>
        <w:t xml:space="preserve">Ion Science v Persons Unknown, </w:t>
      </w:r>
    </w:p>
    <w:p w14:paraId="099731E6" w14:textId="3822084E" w:rsidR="005D4590" w:rsidRDefault="003E6D31" w:rsidP="005D4590">
      <w:pPr>
        <w:pStyle w:val="Paragraphedeliste"/>
        <w:ind w:left="720"/>
        <w:jc w:val="both"/>
        <w:rPr>
          <w:rFonts w:ascii="Aptos" w:eastAsia="Times New Roman" w:hAnsi="Aptos" w:cs="Calibri"/>
          <w:bCs/>
          <w:sz w:val="22"/>
          <w:szCs w:val="22"/>
          <w:lang w:val="en-US"/>
        </w:rPr>
      </w:pPr>
      <w:hyperlink r:id="rId21" w:history="1">
        <w:r w:rsidRPr="004678DB">
          <w:rPr>
            <w:rStyle w:val="Lienhypertexte"/>
            <w:rFonts w:ascii="Aptos" w:eastAsia="Times New Roman" w:hAnsi="Aptos" w:cs="Calibri"/>
            <w:bCs/>
            <w:sz w:val="22"/>
            <w:szCs w:val="22"/>
            <w:lang w:val="en-US"/>
          </w:rPr>
          <w:t>https://www.bailii.org/ew/cases/EWHC/Comm/2020/3688.html</w:t>
        </w:r>
      </w:hyperlink>
    </w:p>
    <w:p w14:paraId="17EEBEC4" w14:textId="25535CA8" w:rsidR="005D4590" w:rsidRPr="003E6D31" w:rsidRDefault="00D25F15" w:rsidP="003E6D31">
      <w:pPr>
        <w:pStyle w:val="Paragraphedeliste"/>
        <w:numPr>
          <w:ilvl w:val="0"/>
          <w:numId w:val="19"/>
        </w:numPr>
        <w:jc w:val="both"/>
        <w:rPr>
          <w:rFonts w:ascii="Aptos" w:hAnsi="Aptos" w:cs="Calibri"/>
          <w:b/>
          <w:bCs/>
          <w:color w:val="C00000"/>
          <w:lang w:val="en-US"/>
        </w:rPr>
      </w:pPr>
      <w:r w:rsidRPr="003E6D31">
        <w:rPr>
          <w:rFonts w:ascii="Aptos" w:hAnsi="Aptos" w:cs="Calibri"/>
          <w:b/>
          <w:bCs/>
          <w:color w:val="C00000"/>
          <w:lang w:val="en-US"/>
        </w:rPr>
        <w:t xml:space="preserve">Fetch.ai v Persons Unknown, </w:t>
      </w:r>
    </w:p>
    <w:p w14:paraId="423AC4A9" w14:textId="239D9A08" w:rsidR="005D4590" w:rsidRDefault="003E6D31" w:rsidP="005D4590">
      <w:pPr>
        <w:pStyle w:val="Paragraphedeliste"/>
        <w:ind w:left="720"/>
        <w:jc w:val="both"/>
        <w:rPr>
          <w:rFonts w:ascii="Aptos" w:eastAsia="Times New Roman" w:hAnsi="Aptos" w:cs="Calibri"/>
          <w:bCs/>
          <w:sz w:val="22"/>
          <w:szCs w:val="22"/>
          <w:lang w:val="en-US"/>
        </w:rPr>
      </w:pPr>
      <w:hyperlink r:id="rId22" w:history="1">
        <w:r w:rsidRPr="004678DB">
          <w:rPr>
            <w:rStyle w:val="Lienhypertexte"/>
            <w:rFonts w:ascii="Aptos" w:eastAsia="Times New Roman" w:hAnsi="Aptos" w:cs="Calibri"/>
            <w:bCs/>
            <w:sz w:val="22"/>
            <w:szCs w:val="22"/>
            <w:lang w:val="en-US"/>
          </w:rPr>
          <w:t>https://www.bailii.org/ew/cases/EWHC/Comm/2021/2254.html</w:t>
        </w:r>
      </w:hyperlink>
    </w:p>
    <w:p w14:paraId="06CBFD46" w14:textId="78E300F1" w:rsidR="005D4590" w:rsidRPr="003E6D31" w:rsidRDefault="00D25F15" w:rsidP="003E6D31">
      <w:pPr>
        <w:pStyle w:val="Paragraphedeliste"/>
        <w:numPr>
          <w:ilvl w:val="0"/>
          <w:numId w:val="19"/>
        </w:numPr>
        <w:jc w:val="both"/>
        <w:rPr>
          <w:rFonts w:ascii="Aptos" w:hAnsi="Aptos" w:cs="Calibri"/>
          <w:b/>
          <w:bCs/>
          <w:color w:val="C00000"/>
          <w:lang w:val="en-US"/>
        </w:rPr>
      </w:pPr>
      <w:r w:rsidRPr="003E6D31">
        <w:rPr>
          <w:rFonts w:ascii="Aptos" w:hAnsi="Aptos" w:cs="Calibri"/>
          <w:b/>
          <w:bCs/>
          <w:color w:val="C00000"/>
          <w:lang w:val="en-US"/>
        </w:rPr>
        <w:t xml:space="preserve">Tulip Trading v Bitcoin Association for BSV, </w:t>
      </w:r>
    </w:p>
    <w:p w14:paraId="127D937A" w14:textId="4BC1E2F4" w:rsidR="005D4590" w:rsidRDefault="003E6D31" w:rsidP="005D4590">
      <w:pPr>
        <w:pStyle w:val="Paragraphedeliste"/>
        <w:ind w:left="720"/>
        <w:jc w:val="both"/>
        <w:rPr>
          <w:rFonts w:ascii="Aptos" w:eastAsia="Times New Roman" w:hAnsi="Aptos" w:cs="Calibri"/>
          <w:bCs/>
          <w:sz w:val="22"/>
          <w:szCs w:val="22"/>
          <w:lang w:val="en-US"/>
        </w:rPr>
      </w:pPr>
      <w:hyperlink r:id="rId23" w:history="1">
        <w:r w:rsidRPr="004678DB">
          <w:rPr>
            <w:rStyle w:val="Lienhypertexte"/>
            <w:rFonts w:ascii="Aptos" w:eastAsia="Times New Roman" w:hAnsi="Aptos" w:cs="Calibri"/>
            <w:bCs/>
            <w:sz w:val="22"/>
            <w:szCs w:val="22"/>
            <w:lang w:val="en-US"/>
          </w:rPr>
          <w:t>https://www.bailii.org/ew/cases/EWHC/Ch/2022/667.html</w:t>
        </w:r>
      </w:hyperlink>
    </w:p>
    <w:p w14:paraId="1877B665" w14:textId="450C7B04" w:rsidR="005D4590" w:rsidRPr="003E6D31" w:rsidRDefault="00D25F15" w:rsidP="003E6D31">
      <w:pPr>
        <w:pStyle w:val="Paragraphedeliste"/>
        <w:numPr>
          <w:ilvl w:val="0"/>
          <w:numId w:val="19"/>
        </w:numPr>
        <w:jc w:val="both"/>
        <w:rPr>
          <w:rFonts w:ascii="Aptos" w:hAnsi="Aptos" w:cs="Calibri"/>
          <w:b/>
          <w:bCs/>
          <w:color w:val="C00000"/>
          <w:lang w:val="en-US"/>
        </w:rPr>
      </w:pPr>
      <w:r w:rsidRPr="003E6D31">
        <w:rPr>
          <w:rFonts w:ascii="Aptos" w:hAnsi="Aptos" w:cs="Calibri"/>
          <w:b/>
          <w:bCs/>
          <w:color w:val="C00000"/>
          <w:lang w:val="en-US"/>
        </w:rPr>
        <w:t xml:space="preserve">D’Aloia v Persons Unknown, </w:t>
      </w:r>
    </w:p>
    <w:p w14:paraId="34866AE3" w14:textId="40D3CA4D" w:rsidR="005D4590" w:rsidRDefault="003E6D31" w:rsidP="005D4590">
      <w:pPr>
        <w:pStyle w:val="Paragraphedeliste"/>
        <w:ind w:left="720"/>
        <w:jc w:val="both"/>
        <w:rPr>
          <w:rFonts w:ascii="Aptos" w:eastAsia="Times New Roman" w:hAnsi="Aptos" w:cs="Calibri"/>
          <w:bCs/>
          <w:sz w:val="22"/>
          <w:szCs w:val="22"/>
          <w:lang w:val="en-US"/>
        </w:rPr>
      </w:pPr>
      <w:hyperlink r:id="rId24" w:history="1">
        <w:r w:rsidRPr="004678DB">
          <w:rPr>
            <w:rStyle w:val="Lienhypertexte"/>
            <w:rFonts w:ascii="Aptos" w:eastAsia="Times New Roman" w:hAnsi="Aptos" w:cs="Calibri"/>
            <w:bCs/>
            <w:sz w:val="22"/>
            <w:szCs w:val="22"/>
            <w:lang w:val="en-US"/>
          </w:rPr>
          <w:t>https://www.bailii.org/ew/cases/EWHC/Ch/2024/2342.html</w:t>
        </w:r>
      </w:hyperlink>
    </w:p>
    <w:p w14:paraId="242B7D17" w14:textId="5585D48E" w:rsidR="00284BDB" w:rsidRPr="003E6D31" w:rsidRDefault="00D25F15" w:rsidP="003E6D31">
      <w:pPr>
        <w:pStyle w:val="Paragraphedeliste"/>
        <w:numPr>
          <w:ilvl w:val="0"/>
          <w:numId w:val="19"/>
        </w:numPr>
        <w:jc w:val="both"/>
        <w:rPr>
          <w:rFonts w:ascii="Aptos" w:hAnsi="Aptos" w:cs="Calibri"/>
          <w:b/>
          <w:bCs/>
          <w:color w:val="C00000"/>
          <w:lang w:val="en-US"/>
        </w:rPr>
      </w:pPr>
      <w:r w:rsidRPr="003E6D31">
        <w:rPr>
          <w:rFonts w:ascii="Aptos" w:hAnsi="Aptos" w:cs="Calibri"/>
          <w:b/>
          <w:bCs/>
          <w:color w:val="C00000"/>
          <w:lang w:val="en-US"/>
        </w:rPr>
        <w:t>Osbourne v Persons Unknown</w:t>
      </w:r>
    </w:p>
    <w:p w14:paraId="1BFFC1D8" w14:textId="448EABFD" w:rsidR="00AB423A" w:rsidRPr="000A1ACA" w:rsidRDefault="00DC7219" w:rsidP="00DC7219">
      <w:pPr>
        <w:pStyle w:val="Paragraphedeliste"/>
        <w:ind w:left="720"/>
        <w:jc w:val="both"/>
        <w:rPr>
          <w:rFonts w:ascii="Aptos" w:eastAsia="Times New Roman" w:hAnsi="Aptos" w:cs="Calibri"/>
          <w:bCs/>
          <w:sz w:val="22"/>
          <w:szCs w:val="22"/>
          <w:lang w:val="en-US"/>
        </w:rPr>
      </w:pPr>
      <w:hyperlink r:id="rId25" w:history="1">
        <w:r w:rsidRPr="000A1ACA">
          <w:rPr>
            <w:rStyle w:val="Lienhypertexte"/>
            <w:rFonts w:ascii="Aptos" w:eastAsia="Times New Roman" w:hAnsi="Aptos" w:cs="Calibri"/>
            <w:bCs/>
            <w:sz w:val="22"/>
            <w:szCs w:val="22"/>
            <w:lang w:val="en-US"/>
          </w:rPr>
          <w:t>https://www.bailii.org/ew/cases/EWHC/KB/2023/2974.html</w:t>
        </w:r>
      </w:hyperlink>
    </w:p>
    <w:p w14:paraId="2B2D832C" w14:textId="29D414BF" w:rsidR="00DC7219" w:rsidRPr="000A1ACA" w:rsidRDefault="00DC7219" w:rsidP="00DC7219">
      <w:pPr>
        <w:pStyle w:val="Paragraphedeliste"/>
        <w:numPr>
          <w:ilvl w:val="0"/>
          <w:numId w:val="19"/>
        </w:numPr>
        <w:jc w:val="both"/>
        <w:rPr>
          <w:rFonts w:ascii="Aptos" w:hAnsi="Aptos" w:cs="Calibri"/>
          <w:b/>
          <w:bCs/>
          <w:color w:val="C00000"/>
          <w:sz w:val="22"/>
          <w:szCs w:val="22"/>
          <w:lang w:val="en-US"/>
        </w:rPr>
      </w:pPr>
      <w:r w:rsidRPr="000A1ACA">
        <w:rPr>
          <w:rFonts w:ascii="Aptos" w:hAnsi="Aptos" w:cs="Calibri"/>
          <w:b/>
          <w:bCs/>
          <w:color w:val="C00000"/>
          <w:sz w:val="22"/>
          <w:szCs w:val="22"/>
          <w:lang w:val="en-US"/>
        </w:rPr>
        <w:t xml:space="preserve">Property (Digital Assets </w:t>
      </w:r>
      <w:proofErr w:type="spellStart"/>
      <w:r w:rsidRPr="000A1ACA">
        <w:rPr>
          <w:rFonts w:ascii="Aptos" w:hAnsi="Aptos" w:cs="Calibri"/>
          <w:b/>
          <w:bCs/>
          <w:color w:val="C00000"/>
          <w:sz w:val="22"/>
          <w:szCs w:val="22"/>
          <w:lang w:val="en-US"/>
        </w:rPr>
        <w:t>etc</w:t>
      </w:r>
      <w:proofErr w:type="spellEnd"/>
      <w:r w:rsidRPr="000A1ACA">
        <w:rPr>
          <w:rFonts w:ascii="Aptos" w:hAnsi="Aptos" w:cs="Calibri"/>
          <w:b/>
          <w:bCs/>
          <w:color w:val="C00000"/>
          <w:sz w:val="22"/>
          <w:szCs w:val="22"/>
          <w:lang w:val="en-US"/>
        </w:rPr>
        <w:t>) Bill [HL] (2024)</w:t>
      </w:r>
    </w:p>
    <w:p w14:paraId="5E7DF13D" w14:textId="23AD1299" w:rsidR="003E6D31" w:rsidRPr="003E6D31" w:rsidRDefault="003E6D31" w:rsidP="003E6D31">
      <w:pPr>
        <w:pStyle w:val="Paragraphedeliste"/>
        <w:ind w:left="720"/>
        <w:jc w:val="both"/>
        <w:rPr>
          <w:rFonts w:ascii="Aptos" w:eastAsia="Times New Roman" w:hAnsi="Aptos" w:cs="Calibri"/>
          <w:bCs/>
          <w:sz w:val="22"/>
          <w:szCs w:val="22"/>
          <w:lang w:val="en-US"/>
        </w:rPr>
      </w:pPr>
      <w:hyperlink r:id="rId26" w:history="1">
        <w:r w:rsidRPr="004678DB">
          <w:rPr>
            <w:rStyle w:val="Lienhypertexte"/>
            <w:rFonts w:ascii="Aptos" w:eastAsia="Times New Roman" w:hAnsi="Aptos" w:cs="Calibri"/>
            <w:bCs/>
            <w:sz w:val="22"/>
            <w:szCs w:val="22"/>
            <w:lang w:val="en-US"/>
          </w:rPr>
          <w:t>https://bills.parliament.uk/bills/3766</w:t>
        </w:r>
      </w:hyperlink>
    </w:p>
    <w:p w14:paraId="13914EE5" w14:textId="2972278B" w:rsidR="00DC7219" w:rsidRPr="003E6D31" w:rsidRDefault="00DC7219" w:rsidP="00956EAA">
      <w:pPr>
        <w:jc w:val="both"/>
        <w:rPr>
          <w:rFonts w:ascii="Aptos" w:eastAsia="Times New Roman" w:hAnsi="Aptos" w:cs="Calibri"/>
          <w:b/>
          <w:lang w:val="en-US"/>
        </w:rPr>
      </w:pPr>
      <w:r w:rsidRPr="003E6D31">
        <w:rPr>
          <w:rFonts w:ascii="Aptos" w:eastAsia="Times New Roman" w:hAnsi="Aptos" w:cs="Calibri"/>
          <w:b/>
          <w:lang w:val="en-US"/>
        </w:rPr>
        <w:t>Laura GUERCIO</w:t>
      </w:r>
      <w:r w:rsidR="001C47B3" w:rsidRPr="003E6D31">
        <w:rPr>
          <w:rFonts w:ascii="Aptos" w:eastAsia="Times New Roman" w:hAnsi="Aptos" w:cs="Calibri"/>
          <w:b/>
          <w:lang w:val="en-US"/>
        </w:rPr>
        <w:t>/</w:t>
      </w:r>
      <w:r w:rsidRPr="003E6D31">
        <w:rPr>
          <w:rFonts w:ascii="Aptos" w:eastAsia="Times New Roman" w:hAnsi="Aptos" w:cs="Calibri"/>
          <w:b/>
          <w:lang w:val="en-US"/>
        </w:rPr>
        <w:t xml:space="preserve"> Ilaria PRETELLI</w:t>
      </w:r>
    </w:p>
    <w:p w14:paraId="28DE23F9" w14:textId="77B45A9D" w:rsidR="00DC7219" w:rsidRPr="000A1ACA" w:rsidRDefault="00DC7219" w:rsidP="001C47B3">
      <w:pPr>
        <w:pStyle w:val="Paragraphedeliste"/>
        <w:ind w:left="720"/>
        <w:jc w:val="both"/>
        <w:rPr>
          <w:rFonts w:ascii="Aptos" w:hAnsi="Aptos" w:cs="Calibri"/>
          <w:b/>
          <w:bCs/>
          <w:color w:val="C00000"/>
          <w:sz w:val="22"/>
          <w:szCs w:val="22"/>
          <w:lang w:val="en-US"/>
        </w:rPr>
      </w:pPr>
      <w:r w:rsidRPr="000A1ACA">
        <w:rPr>
          <w:rFonts w:ascii="Aptos" w:hAnsi="Aptos" w:cs="Calibri"/>
          <w:b/>
          <w:bCs/>
          <w:color w:val="C00000"/>
          <w:sz w:val="22"/>
          <w:szCs w:val="22"/>
          <w:lang w:val="en-US"/>
        </w:rPr>
        <w:t>United States Court of Appeals for the Ninth Circuit 323 F.3d 1233 (2003)</w:t>
      </w:r>
    </w:p>
    <w:p w14:paraId="5F8D15CF" w14:textId="3CFBBD26" w:rsidR="001C47B3" w:rsidRDefault="003E6D31" w:rsidP="001C47B3">
      <w:pPr>
        <w:pStyle w:val="Paragraphedeliste"/>
        <w:ind w:left="720"/>
        <w:jc w:val="both"/>
        <w:rPr>
          <w:rFonts w:ascii="Aptos" w:eastAsia="Times New Roman" w:hAnsi="Aptos" w:cs="Calibri"/>
          <w:bCs/>
          <w:sz w:val="22"/>
          <w:szCs w:val="22"/>
          <w:lang w:val="en-US"/>
        </w:rPr>
      </w:pPr>
      <w:hyperlink r:id="rId27" w:history="1">
        <w:r w:rsidRPr="004678DB">
          <w:rPr>
            <w:rStyle w:val="Lienhypertexte"/>
            <w:rFonts w:ascii="Aptos" w:eastAsia="Times New Roman" w:hAnsi="Aptos" w:cs="Calibri"/>
            <w:bCs/>
            <w:sz w:val="22"/>
            <w:szCs w:val="22"/>
            <w:lang w:val="en-US"/>
          </w:rPr>
          <w:t>https://law.justia.com/cases/federal/appellate-courts/F3/323/1233/575851/</w:t>
        </w:r>
      </w:hyperlink>
    </w:p>
    <w:p w14:paraId="4A131534" w14:textId="63A4A765" w:rsidR="005E3313" w:rsidRPr="000A1ACA" w:rsidRDefault="001C47B3" w:rsidP="001C47B3">
      <w:pPr>
        <w:spacing w:after="120" w:line="240" w:lineRule="auto"/>
        <w:ind w:right="567"/>
        <w:rPr>
          <w:rFonts w:ascii="Aptos" w:eastAsia="Times New Roman" w:hAnsi="Aptos" w:cs="Calibri"/>
          <w:b/>
          <w:lang w:val="en-US"/>
        </w:rPr>
      </w:pPr>
      <w:r w:rsidRPr="000A1ACA">
        <w:rPr>
          <w:rFonts w:ascii="Aptos" w:eastAsia="Times New Roman" w:hAnsi="Aptos" w:cs="Calibri"/>
          <w:b/>
          <w:lang w:val="en-US"/>
        </w:rPr>
        <w:t>Caterina D’OSUALDO</w:t>
      </w:r>
    </w:p>
    <w:p w14:paraId="1426175F" w14:textId="77777777" w:rsidR="001C47B3" w:rsidRPr="000A1ACA" w:rsidRDefault="001C47B3" w:rsidP="001C47B3">
      <w:pPr>
        <w:pStyle w:val="Paragraphedeliste"/>
        <w:ind w:left="720"/>
        <w:jc w:val="both"/>
        <w:rPr>
          <w:rFonts w:ascii="Aptos" w:hAnsi="Aptos" w:cs="Calibri"/>
          <w:b/>
          <w:bCs/>
          <w:color w:val="C00000"/>
          <w:sz w:val="22"/>
          <w:szCs w:val="22"/>
          <w:lang w:val="en-US"/>
        </w:rPr>
      </w:pPr>
      <w:r w:rsidRPr="000A1ACA">
        <w:rPr>
          <w:rFonts w:ascii="Aptos" w:hAnsi="Aptos" w:cs="Calibri"/>
          <w:b/>
          <w:bCs/>
          <w:color w:val="C00000"/>
          <w:sz w:val="22"/>
          <w:szCs w:val="22"/>
          <w:lang w:val="en-US"/>
        </w:rPr>
        <w:t xml:space="preserve">Directive (EU) 2024/1069 of the European Parliament and of the Council of 11 April 2024 on protecting persons who engage in public participation from manifestly unfounded claims or abusive court </w:t>
      </w:r>
      <w:proofErr w:type="gramStart"/>
      <w:r w:rsidRPr="000A1ACA">
        <w:rPr>
          <w:rFonts w:ascii="Aptos" w:hAnsi="Aptos" w:cs="Calibri"/>
          <w:b/>
          <w:bCs/>
          <w:color w:val="C00000"/>
          <w:sz w:val="22"/>
          <w:szCs w:val="22"/>
          <w:lang w:val="en-US"/>
        </w:rPr>
        <w:t>proceedings (‘</w:t>
      </w:r>
      <w:proofErr w:type="gramEnd"/>
      <w:r w:rsidRPr="000A1ACA">
        <w:rPr>
          <w:rFonts w:ascii="Aptos" w:hAnsi="Aptos" w:cs="Calibri"/>
          <w:b/>
          <w:bCs/>
          <w:color w:val="C00000"/>
          <w:sz w:val="22"/>
          <w:szCs w:val="22"/>
          <w:lang w:val="en-US"/>
        </w:rPr>
        <w:t>Strategic lawsuits against public participation’)</w:t>
      </w:r>
    </w:p>
    <w:p w14:paraId="20E53F6F" w14:textId="45FE31A4" w:rsidR="000A1ACA" w:rsidRDefault="003E6D31" w:rsidP="000A1ACA">
      <w:pPr>
        <w:pStyle w:val="Paragraphedeliste"/>
        <w:ind w:left="720"/>
        <w:jc w:val="both"/>
        <w:rPr>
          <w:rFonts w:ascii="Aptos" w:eastAsia="Times New Roman" w:hAnsi="Aptos" w:cs="Calibri"/>
          <w:bCs/>
          <w:sz w:val="22"/>
          <w:szCs w:val="22"/>
          <w:lang w:val="en-US"/>
        </w:rPr>
      </w:pPr>
      <w:hyperlink r:id="rId28" w:history="1">
        <w:r w:rsidRPr="004678DB">
          <w:rPr>
            <w:rStyle w:val="Lienhypertexte"/>
            <w:rFonts w:ascii="Aptos" w:eastAsia="Times New Roman" w:hAnsi="Aptos" w:cs="Calibri"/>
            <w:bCs/>
            <w:sz w:val="22"/>
            <w:szCs w:val="22"/>
            <w:lang w:val="en-US"/>
          </w:rPr>
          <w:t>https://eur-lex.europa.eu/legal-content/EN/TXT/HTML/?uri=OJ:L_202401069</w:t>
        </w:r>
      </w:hyperlink>
    </w:p>
    <w:p w14:paraId="4EA87466" w14:textId="77777777" w:rsidR="003E6D31" w:rsidRPr="000A1ACA" w:rsidRDefault="003E6D31" w:rsidP="000A1ACA">
      <w:pPr>
        <w:pStyle w:val="Paragraphedeliste"/>
        <w:ind w:left="720"/>
        <w:jc w:val="both"/>
        <w:rPr>
          <w:rFonts w:ascii="Aptos" w:hAnsi="Aptos" w:cs="Calibri"/>
          <w:b/>
          <w:bCs/>
          <w:color w:val="C00000"/>
          <w:sz w:val="22"/>
          <w:szCs w:val="22"/>
          <w:lang w:val="en-US"/>
        </w:rPr>
      </w:pPr>
    </w:p>
    <w:sectPr w:rsidR="003E6D31" w:rsidRPr="000A1ACA" w:rsidSect="004E6BD7">
      <w:headerReference w:type="default" r:id="rId29"/>
      <w:headerReference w:type="first" r:id="rId30"/>
      <w:pgSz w:w="11906" w:h="16838" w:code="9"/>
      <w:pgMar w:top="-1276" w:right="851" w:bottom="851" w:left="851" w:header="0" w:footer="4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0C48D6" w14:textId="77777777" w:rsidR="00330153" w:rsidRDefault="00330153" w:rsidP="000771C5">
      <w:pPr>
        <w:spacing w:after="0" w:line="240" w:lineRule="auto"/>
      </w:pPr>
      <w:r>
        <w:separator/>
      </w:r>
    </w:p>
  </w:endnote>
  <w:endnote w:type="continuationSeparator" w:id="0">
    <w:p w14:paraId="1417364D" w14:textId="77777777" w:rsidR="00330153" w:rsidRDefault="00330153" w:rsidP="000771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Gill Sans">
    <w:altName w:val="Courier New"/>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68C70F" w14:textId="77777777" w:rsidR="00330153" w:rsidRDefault="00330153" w:rsidP="000771C5">
      <w:pPr>
        <w:spacing w:after="0" w:line="240" w:lineRule="auto"/>
      </w:pPr>
      <w:r>
        <w:separator/>
      </w:r>
    </w:p>
  </w:footnote>
  <w:footnote w:type="continuationSeparator" w:id="0">
    <w:p w14:paraId="5CF0AA57" w14:textId="77777777" w:rsidR="00330153" w:rsidRDefault="00330153" w:rsidP="000771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DCEB6" w14:textId="77777777" w:rsidR="002A4E01" w:rsidRDefault="002A4E01">
    <w:pPr>
      <w:pStyle w:val="En-tte"/>
    </w:pPr>
  </w:p>
  <w:p w14:paraId="4B1A509A" w14:textId="77777777" w:rsidR="002A4E01" w:rsidRDefault="002A4E01">
    <w:pPr>
      <w:pStyle w:val="En-tte"/>
    </w:pPr>
  </w:p>
  <w:p w14:paraId="62F9245A" w14:textId="77777777" w:rsidR="002A4E01" w:rsidRDefault="002A4E01">
    <w:pPr>
      <w:pStyle w:val="En-tte"/>
    </w:pPr>
  </w:p>
  <w:p w14:paraId="44188C54" w14:textId="2CB32487" w:rsidR="002A4E01" w:rsidRDefault="000970E5">
    <w:pPr>
      <w:pStyle w:val="En-tte"/>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D1E59" w14:textId="0E2CC7BD" w:rsidR="002A4E01" w:rsidRDefault="005650CB">
    <w:pPr>
      <w:pStyle w:val="En-tte"/>
    </w:pPr>
    <w:r>
      <w:rPr>
        <w:noProof/>
        <w:lang w:val="fr-CH" w:eastAsia="fr-CH"/>
      </w:rPr>
      <w:drawing>
        <wp:anchor distT="0" distB="0" distL="114300" distR="114300" simplePos="0" relativeHeight="251659264" behindDoc="1" locked="0" layoutInCell="1" allowOverlap="1" wp14:anchorId="66E9075B" wp14:editId="0CE75723">
          <wp:simplePos x="0" y="0"/>
          <wp:positionH relativeFrom="page">
            <wp:posOffset>-2846070</wp:posOffset>
          </wp:positionH>
          <wp:positionV relativeFrom="paragraph">
            <wp:posOffset>-1530350</wp:posOffset>
          </wp:positionV>
          <wp:extent cx="10692130" cy="4870450"/>
          <wp:effectExtent l="0" t="0" r="0" b="6350"/>
          <wp:wrapThrough wrapText="bothSides">
            <wp:wrapPolygon edited="0">
              <wp:start x="0" y="0"/>
              <wp:lineTo x="0" y="21544"/>
              <wp:lineTo x="21551" y="21544"/>
              <wp:lineTo x="21551" y="0"/>
              <wp:lineTo x="0" y="0"/>
            </wp:wrapPolygon>
          </wp:wrapThrough>
          <wp:docPr id="87156154" name="Image 3" descr="Base-Visuel-Affichettes-int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se-Visuel-Affichettes-inter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2130" cy="487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30AFD" w:rsidRPr="003D298C">
      <w:rPr>
        <w:rFonts w:asciiTheme="minorHAnsi" w:hAnsiTheme="minorHAnsi" w:cstheme="minorHAnsi"/>
        <w:sz w:val="28"/>
        <w:szCs w:val="28"/>
      </w:rPr>
      <w:t xml:space="preserve">         </w:t>
    </w:r>
    <w:r w:rsidR="00A30AFD">
      <w:rPr>
        <w:rFonts w:asciiTheme="minorHAnsi" w:hAnsiTheme="minorHAnsi" w:cstheme="minorHAnsi"/>
        <w:sz w:val="28"/>
        <w:szCs w:val="28"/>
      </w:rPr>
      <w:t xml:space="preserve">  </w:t>
    </w:r>
    <w:r w:rsidR="00A30AFD" w:rsidRPr="003D298C">
      <w:rPr>
        <w:rFonts w:asciiTheme="minorHAnsi" w:hAnsiTheme="minorHAnsi" w:cstheme="minorHAnsi"/>
        <w:sz w:val="28"/>
        <w:szCs w:val="28"/>
      </w:rPr>
      <w:t xml:space="preserve">        </w:t>
    </w:r>
    <w:r w:rsidR="00A30AFD">
      <w:rPr>
        <w:rFonts w:asciiTheme="minorHAnsi" w:hAnsiTheme="minorHAnsi" w:cstheme="minorHAnsi"/>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228EE"/>
    <w:multiLevelType w:val="hybridMultilevel"/>
    <w:tmpl w:val="B2C81FE6"/>
    <w:lvl w:ilvl="0" w:tplc="0346F744">
      <w:start w:val="1"/>
      <w:numFmt w:val="bullet"/>
      <w:lvlText w:val="-"/>
      <w:lvlJc w:val="left"/>
      <w:pPr>
        <w:ind w:left="405" w:hanging="360"/>
      </w:pPr>
      <w:rPr>
        <w:rFonts w:ascii="Arial" w:eastAsia="Calibri" w:hAnsi="Arial" w:cs="Wingdings" w:hint="default"/>
      </w:rPr>
    </w:lvl>
    <w:lvl w:ilvl="1" w:tplc="040C0003" w:tentative="1">
      <w:start w:val="1"/>
      <w:numFmt w:val="bullet"/>
      <w:lvlText w:val="o"/>
      <w:lvlJc w:val="left"/>
      <w:pPr>
        <w:ind w:left="1125" w:hanging="360"/>
      </w:pPr>
      <w:rPr>
        <w:rFonts w:ascii="Courier New" w:hAnsi="Courier New" w:cs="Calibri"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alibri"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alibri" w:hint="default"/>
      </w:rPr>
    </w:lvl>
    <w:lvl w:ilvl="8" w:tplc="040C0005" w:tentative="1">
      <w:start w:val="1"/>
      <w:numFmt w:val="bullet"/>
      <w:lvlText w:val=""/>
      <w:lvlJc w:val="left"/>
      <w:pPr>
        <w:ind w:left="6165" w:hanging="360"/>
      </w:pPr>
      <w:rPr>
        <w:rFonts w:ascii="Wingdings" w:hAnsi="Wingdings" w:hint="default"/>
      </w:rPr>
    </w:lvl>
  </w:abstractNum>
  <w:abstractNum w:abstractNumId="1" w15:restartNumberingAfterBreak="0">
    <w:nsid w:val="0E4F1BF5"/>
    <w:multiLevelType w:val="hybridMultilevel"/>
    <w:tmpl w:val="60C269C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148F5FCF"/>
    <w:multiLevelType w:val="hybridMultilevel"/>
    <w:tmpl w:val="61A0CB38"/>
    <w:lvl w:ilvl="0" w:tplc="08100011">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3" w15:restartNumberingAfterBreak="0">
    <w:nsid w:val="18AB0EDD"/>
    <w:multiLevelType w:val="hybridMultilevel"/>
    <w:tmpl w:val="B906A2EC"/>
    <w:lvl w:ilvl="0" w:tplc="FFFFFFF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4" w15:restartNumberingAfterBreak="0">
    <w:nsid w:val="1E141C0B"/>
    <w:multiLevelType w:val="hybridMultilevel"/>
    <w:tmpl w:val="16C0409E"/>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alibri"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alibri"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10E3B78"/>
    <w:multiLevelType w:val="hybridMultilevel"/>
    <w:tmpl w:val="D81A0850"/>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6" w15:restartNumberingAfterBreak="0">
    <w:nsid w:val="22386E27"/>
    <w:multiLevelType w:val="hybridMultilevel"/>
    <w:tmpl w:val="1A64F55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251F4BD7"/>
    <w:multiLevelType w:val="hybridMultilevel"/>
    <w:tmpl w:val="96666B68"/>
    <w:lvl w:ilvl="0" w:tplc="04E07284">
      <w:start w:val="1"/>
      <w:numFmt w:val="bullet"/>
      <w:lvlText w:val="•"/>
      <w:lvlJc w:val="left"/>
      <w:pPr>
        <w:ind w:left="7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F18897E">
      <w:start w:val="1"/>
      <w:numFmt w:val="bullet"/>
      <w:lvlText w:val="o"/>
      <w:lvlJc w:val="left"/>
      <w:pPr>
        <w:ind w:left="14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004E038">
      <w:start w:val="1"/>
      <w:numFmt w:val="bullet"/>
      <w:lvlText w:val="▪"/>
      <w:lvlJc w:val="left"/>
      <w:pPr>
        <w:ind w:left="21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0DA7E90">
      <w:start w:val="1"/>
      <w:numFmt w:val="bullet"/>
      <w:lvlText w:val="•"/>
      <w:lvlJc w:val="left"/>
      <w:pPr>
        <w:ind w:left="28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7A48306">
      <w:start w:val="1"/>
      <w:numFmt w:val="bullet"/>
      <w:lvlText w:val="o"/>
      <w:lvlJc w:val="left"/>
      <w:pPr>
        <w:ind w:left="36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892BBAC">
      <w:start w:val="1"/>
      <w:numFmt w:val="bullet"/>
      <w:lvlText w:val="▪"/>
      <w:lvlJc w:val="left"/>
      <w:pPr>
        <w:ind w:left="43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0081CE4">
      <w:start w:val="1"/>
      <w:numFmt w:val="bullet"/>
      <w:lvlText w:val="•"/>
      <w:lvlJc w:val="left"/>
      <w:pPr>
        <w:ind w:left="50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E16D1A2">
      <w:start w:val="1"/>
      <w:numFmt w:val="bullet"/>
      <w:lvlText w:val="o"/>
      <w:lvlJc w:val="left"/>
      <w:pPr>
        <w:ind w:left="57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FE48E86">
      <w:start w:val="1"/>
      <w:numFmt w:val="bullet"/>
      <w:lvlText w:val="▪"/>
      <w:lvlJc w:val="left"/>
      <w:pPr>
        <w:ind w:left="64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7145B67"/>
    <w:multiLevelType w:val="hybridMultilevel"/>
    <w:tmpl w:val="D81A08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01C2340"/>
    <w:multiLevelType w:val="hybridMultilevel"/>
    <w:tmpl w:val="F5EC0298"/>
    <w:lvl w:ilvl="0" w:tplc="08100019">
      <w:start w:val="1"/>
      <w:numFmt w:val="lowerLetter"/>
      <w:lvlText w:val="%1."/>
      <w:lvlJc w:val="left"/>
      <w:pPr>
        <w:ind w:left="2136" w:hanging="360"/>
      </w:pPr>
    </w:lvl>
    <w:lvl w:ilvl="1" w:tplc="08100019" w:tentative="1">
      <w:start w:val="1"/>
      <w:numFmt w:val="lowerLetter"/>
      <w:lvlText w:val="%2."/>
      <w:lvlJc w:val="left"/>
      <w:pPr>
        <w:ind w:left="2856" w:hanging="360"/>
      </w:pPr>
    </w:lvl>
    <w:lvl w:ilvl="2" w:tplc="0810001B" w:tentative="1">
      <w:start w:val="1"/>
      <w:numFmt w:val="lowerRoman"/>
      <w:lvlText w:val="%3."/>
      <w:lvlJc w:val="right"/>
      <w:pPr>
        <w:ind w:left="3576" w:hanging="180"/>
      </w:pPr>
    </w:lvl>
    <w:lvl w:ilvl="3" w:tplc="0810000F" w:tentative="1">
      <w:start w:val="1"/>
      <w:numFmt w:val="decimal"/>
      <w:lvlText w:val="%4."/>
      <w:lvlJc w:val="left"/>
      <w:pPr>
        <w:ind w:left="4296" w:hanging="360"/>
      </w:pPr>
    </w:lvl>
    <w:lvl w:ilvl="4" w:tplc="08100019" w:tentative="1">
      <w:start w:val="1"/>
      <w:numFmt w:val="lowerLetter"/>
      <w:lvlText w:val="%5."/>
      <w:lvlJc w:val="left"/>
      <w:pPr>
        <w:ind w:left="5016" w:hanging="360"/>
      </w:pPr>
    </w:lvl>
    <w:lvl w:ilvl="5" w:tplc="0810001B" w:tentative="1">
      <w:start w:val="1"/>
      <w:numFmt w:val="lowerRoman"/>
      <w:lvlText w:val="%6."/>
      <w:lvlJc w:val="right"/>
      <w:pPr>
        <w:ind w:left="5736" w:hanging="180"/>
      </w:pPr>
    </w:lvl>
    <w:lvl w:ilvl="6" w:tplc="0810000F" w:tentative="1">
      <w:start w:val="1"/>
      <w:numFmt w:val="decimal"/>
      <w:lvlText w:val="%7."/>
      <w:lvlJc w:val="left"/>
      <w:pPr>
        <w:ind w:left="6456" w:hanging="360"/>
      </w:pPr>
    </w:lvl>
    <w:lvl w:ilvl="7" w:tplc="08100019" w:tentative="1">
      <w:start w:val="1"/>
      <w:numFmt w:val="lowerLetter"/>
      <w:lvlText w:val="%8."/>
      <w:lvlJc w:val="left"/>
      <w:pPr>
        <w:ind w:left="7176" w:hanging="360"/>
      </w:pPr>
    </w:lvl>
    <w:lvl w:ilvl="8" w:tplc="0810001B" w:tentative="1">
      <w:start w:val="1"/>
      <w:numFmt w:val="lowerRoman"/>
      <w:lvlText w:val="%9."/>
      <w:lvlJc w:val="right"/>
      <w:pPr>
        <w:ind w:left="7896" w:hanging="180"/>
      </w:pPr>
    </w:lvl>
  </w:abstractNum>
  <w:abstractNum w:abstractNumId="10" w15:restartNumberingAfterBreak="0">
    <w:nsid w:val="413F5745"/>
    <w:multiLevelType w:val="hybridMultilevel"/>
    <w:tmpl w:val="9F5AAC92"/>
    <w:lvl w:ilvl="0" w:tplc="100C0001">
      <w:start w:val="1"/>
      <w:numFmt w:val="bullet"/>
      <w:lvlText w:val=""/>
      <w:lvlJc w:val="left"/>
      <w:pPr>
        <w:ind w:left="720" w:hanging="360"/>
      </w:pPr>
      <w:rPr>
        <w:rFonts w:ascii="Symbol" w:hAnsi="Symbol" w:hint="default"/>
      </w:rPr>
    </w:lvl>
    <w:lvl w:ilvl="1" w:tplc="100C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2BB3797"/>
    <w:multiLevelType w:val="hybridMultilevel"/>
    <w:tmpl w:val="AE5A44A4"/>
    <w:lvl w:ilvl="0" w:tplc="100C0001">
      <w:start w:val="1"/>
      <w:numFmt w:val="bullet"/>
      <w:lvlText w:val=""/>
      <w:lvlJc w:val="left"/>
      <w:pPr>
        <w:ind w:left="1440" w:hanging="360"/>
      </w:pPr>
      <w:rPr>
        <w:rFonts w:ascii="Symbol" w:hAnsi="Symbol"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abstractNum w:abstractNumId="12" w15:restartNumberingAfterBreak="0">
    <w:nsid w:val="43F00CC9"/>
    <w:multiLevelType w:val="hybridMultilevel"/>
    <w:tmpl w:val="3D64AB64"/>
    <w:lvl w:ilvl="0" w:tplc="B66A7BF6">
      <w:start w:val="1"/>
      <w:numFmt w:val="bullet"/>
      <w:lvlText w:val="•"/>
      <w:lvlJc w:val="left"/>
      <w:pPr>
        <w:ind w:left="7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5E0B17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B56867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AA2334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6D049C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900D93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EFCF50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C08745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6CC3AA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4B3D3066"/>
    <w:multiLevelType w:val="hybridMultilevel"/>
    <w:tmpl w:val="026887DC"/>
    <w:lvl w:ilvl="0" w:tplc="10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6152F5A"/>
    <w:multiLevelType w:val="hybridMultilevel"/>
    <w:tmpl w:val="98E88E08"/>
    <w:lvl w:ilvl="0" w:tplc="FFFFFFF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5" w15:restartNumberingAfterBreak="0">
    <w:nsid w:val="573A259B"/>
    <w:multiLevelType w:val="multilevel"/>
    <w:tmpl w:val="C5C83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A46CDF"/>
    <w:multiLevelType w:val="hybridMultilevel"/>
    <w:tmpl w:val="DFFEBF3A"/>
    <w:lvl w:ilvl="0" w:tplc="8BF851C6">
      <w:start w:val="1"/>
      <w:numFmt w:val="bullet"/>
      <w:lvlText w:val="•"/>
      <w:lvlJc w:val="left"/>
      <w:pPr>
        <w:ind w:left="7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B4C15E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286F54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070F3B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9D6D0B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DE41BC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46A4E9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C6610C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E70300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5DCE02A5"/>
    <w:multiLevelType w:val="hybridMultilevel"/>
    <w:tmpl w:val="34F88940"/>
    <w:lvl w:ilvl="0" w:tplc="F68C0BB6">
      <w:start w:val="1"/>
      <w:numFmt w:val="bullet"/>
      <w:lvlText w:val="•"/>
      <w:lvlJc w:val="left"/>
      <w:pPr>
        <w:ind w:left="4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B2C82D6">
      <w:start w:val="1"/>
      <w:numFmt w:val="bullet"/>
      <w:lvlText w:val="o"/>
      <w:lvlJc w:val="left"/>
      <w:pPr>
        <w:ind w:left="11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ECAA93C">
      <w:start w:val="1"/>
      <w:numFmt w:val="bullet"/>
      <w:lvlText w:val="▪"/>
      <w:lvlJc w:val="left"/>
      <w:pPr>
        <w:ind w:left="18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A488AA0">
      <w:start w:val="1"/>
      <w:numFmt w:val="bullet"/>
      <w:lvlText w:val="•"/>
      <w:lvlJc w:val="left"/>
      <w:pPr>
        <w:ind w:left="26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9F0BB0E">
      <w:start w:val="1"/>
      <w:numFmt w:val="bullet"/>
      <w:lvlText w:val="o"/>
      <w:lvlJc w:val="left"/>
      <w:pPr>
        <w:ind w:left="33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D100AFA">
      <w:start w:val="1"/>
      <w:numFmt w:val="bullet"/>
      <w:lvlText w:val="▪"/>
      <w:lvlJc w:val="left"/>
      <w:pPr>
        <w:ind w:left="40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51E9532">
      <w:start w:val="1"/>
      <w:numFmt w:val="bullet"/>
      <w:lvlText w:val="•"/>
      <w:lvlJc w:val="left"/>
      <w:pPr>
        <w:ind w:left="47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E7EA802">
      <w:start w:val="1"/>
      <w:numFmt w:val="bullet"/>
      <w:lvlText w:val="o"/>
      <w:lvlJc w:val="left"/>
      <w:pPr>
        <w:ind w:left="54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D765542">
      <w:start w:val="1"/>
      <w:numFmt w:val="bullet"/>
      <w:lvlText w:val="▪"/>
      <w:lvlJc w:val="left"/>
      <w:pPr>
        <w:ind w:left="62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5F7F6579"/>
    <w:multiLevelType w:val="multilevel"/>
    <w:tmpl w:val="4D065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3D28EE"/>
    <w:multiLevelType w:val="hybridMultilevel"/>
    <w:tmpl w:val="FE8C003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0" w15:restartNumberingAfterBreak="0">
    <w:nsid w:val="6C4D04FE"/>
    <w:multiLevelType w:val="hybridMultilevel"/>
    <w:tmpl w:val="98E88E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50B09F2"/>
    <w:multiLevelType w:val="hybridMultilevel"/>
    <w:tmpl w:val="F77AB4C6"/>
    <w:lvl w:ilvl="0" w:tplc="100C0015">
      <w:start w:val="1"/>
      <w:numFmt w:val="upp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2" w15:restartNumberingAfterBreak="0">
    <w:nsid w:val="7F8B5C73"/>
    <w:multiLevelType w:val="hybridMultilevel"/>
    <w:tmpl w:val="E5D8364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16cid:durableId="1727341289">
    <w:abstractNumId w:val="4"/>
  </w:num>
  <w:num w:numId="2" w16cid:durableId="987320706">
    <w:abstractNumId w:val="0"/>
  </w:num>
  <w:num w:numId="3" w16cid:durableId="1468473522">
    <w:abstractNumId w:val="21"/>
  </w:num>
  <w:num w:numId="4" w16cid:durableId="1011955928">
    <w:abstractNumId w:val="10"/>
  </w:num>
  <w:num w:numId="5" w16cid:durableId="1840384977">
    <w:abstractNumId w:val="13"/>
  </w:num>
  <w:num w:numId="6" w16cid:durableId="632517544">
    <w:abstractNumId w:val="11"/>
  </w:num>
  <w:num w:numId="7" w16cid:durableId="305857755">
    <w:abstractNumId w:val="19"/>
  </w:num>
  <w:num w:numId="8" w16cid:durableId="424618649">
    <w:abstractNumId w:val="17"/>
  </w:num>
  <w:num w:numId="9" w16cid:durableId="434860903">
    <w:abstractNumId w:val="16"/>
  </w:num>
  <w:num w:numId="10" w16cid:durableId="781538750">
    <w:abstractNumId w:val="7"/>
  </w:num>
  <w:num w:numId="11" w16cid:durableId="1173454185">
    <w:abstractNumId w:val="12"/>
  </w:num>
  <w:num w:numId="12" w16cid:durableId="581137633">
    <w:abstractNumId w:val="6"/>
  </w:num>
  <w:num w:numId="13" w16cid:durableId="943346616">
    <w:abstractNumId w:val="1"/>
  </w:num>
  <w:num w:numId="14" w16cid:durableId="1782919194">
    <w:abstractNumId w:val="22"/>
  </w:num>
  <w:num w:numId="15" w16cid:durableId="686948440">
    <w:abstractNumId w:val="15"/>
  </w:num>
  <w:num w:numId="16" w16cid:durableId="1727099931">
    <w:abstractNumId w:val="18"/>
  </w:num>
  <w:num w:numId="17" w16cid:durableId="1875995572">
    <w:abstractNumId w:val="5"/>
  </w:num>
  <w:num w:numId="18" w16cid:durableId="1278217242">
    <w:abstractNumId w:val="8"/>
  </w:num>
  <w:num w:numId="19" w16cid:durableId="77291665">
    <w:abstractNumId w:val="14"/>
  </w:num>
  <w:num w:numId="20" w16cid:durableId="1028986357">
    <w:abstractNumId w:val="20"/>
  </w:num>
  <w:num w:numId="21" w16cid:durableId="1863936370">
    <w:abstractNumId w:val="3"/>
  </w:num>
  <w:num w:numId="22" w16cid:durableId="1325746768">
    <w:abstractNumId w:val="2"/>
  </w:num>
  <w:num w:numId="23" w16cid:durableId="14853928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de-CH" w:vendorID="64" w:dllVersion="6" w:nlCheck="1" w:checkStyle="0"/>
  <w:activeWritingStyle w:appName="MSWord" w:lang="en-US" w:vendorID="64" w:dllVersion="6" w:nlCheck="1" w:checkStyle="1"/>
  <w:activeWritingStyle w:appName="MSWord" w:lang="en-GB" w:vendorID="64" w:dllVersion="6" w:nlCheck="1" w:checkStyle="1"/>
  <w:activeWritingStyle w:appName="MSWord" w:lang="fr-CH" w:vendorID="64" w:dllVersion="6" w:nlCheck="1" w:checkStyle="0"/>
  <w:activeWritingStyle w:appName="MSWord" w:lang="fr-FR" w:vendorID="64" w:dllVersion="6" w:nlCheck="1" w:checkStyle="0"/>
  <w:activeWritingStyle w:appName="MSWord" w:lang="it-IT" w:vendorID="64" w:dllVersion="6" w:nlCheck="1" w:checkStyle="0"/>
  <w:activeWritingStyle w:appName="MSWord" w:lang="fr-FR" w:vendorID="64" w:dllVersion="4096" w:nlCheck="1" w:checkStyle="0"/>
  <w:activeWritingStyle w:appName="MSWord" w:lang="fr-CH" w:vendorID="64" w:dllVersion="4096" w:nlCheck="1" w:checkStyle="0"/>
  <w:activeWritingStyle w:appName="MSWord" w:lang="de-DE" w:vendorID="64" w:dllVersion="4096" w:nlCheck="1" w:checkStyle="0"/>
  <w:activeWritingStyle w:appName="MSWord" w:lang="de-CH" w:vendorID="64" w:dllVersion="4096" w:nlCheck="1" w:checkStyle="0"/>
  <w:activeWritingStyle w:appName="MSWord" w:lang="en-US" w:vendorID="64" w:dllVersion="4096" w:nlCheck="1" w:checkStyle="0"/>
  <w:activeWritingStyle w:appName="MSWord" w:lang="de-CH" w:vendorID="64" w:dllVersion="0" w:nlCheck="1" w:checkStyle="0"/>
  <w:activeWritingStyle w:appName="MSWord" w:lang="fr-CH" w:vendorID="64" w:dllVersion="0" w:nlCheck="1" w:checkStyle="0"/>
  <w:activeWritingStyle w:appName="MSWord" w:lang="it-IT"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it-CH" w:vendorID="64" w:dllVersion="0" w:nlCheck="1" w:checkStyle="0"/>
  <w:activeWritingStyle w:appName="MSWord" w:lang="en-CA" w:vendorID="64" w:dllVersion="0" w:nlCheck="1" w:checkStyle="0"/>
  <w:activeWritingStyle w:appName="MSWord" w:lang="fr-CA" w:vendorID="64" w:dllVersion="0" w:nlCheck="1" w:checkStyle="0"/>
  <w:activeWritingStyle w:appName="MSWord" w:lang="en-IE" w:vendorID="64" w:dllVersion="0" w:nlCheck="1" w:checkStyle="0"/>
  <w:activeWritingStyle w:appName="MSWord" w:lang="es-E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131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034"/>
    <w:rsid w:val="00001787"/>
    <w:rsid w:val="0000249A"/>
    <w:rsid w:val="0002752B"/>
    <w:rsid w:val="00047924"/>
    <w:rsid w:val="000523FC"/>
    <w:rsid w:val="0006205D"/>
    <w:rsid w:val="00066FD1"/>
    <w:rsid w:val="0007409D"/>
    <w:rsid w:val="000771C5"/>
    <w:rsid w:val="000806DE"/>
    <w:rsid w:val="000970E5"/>
    <w:rsid w:val="000A1ACA"/>
    <w:rsid w:val="000A2D56"/>
    <w:rsid w:val="000B6AA9"/>
    <w:rsid w:val="000B7C86"/>
    <w:rsid w:val="000C0B46"/>
    <w:rsid w:val="000C18ED"/>
    <w:rsid w:val="000E5B0B"/>
    <w:rsid w:val="000E70A5"/>
    <w:rsid w:val="000F1D86"/>
    <w:rsid w:val="00115FE7"/>
    <w:rsid w:val="001206BC"/>
    <w:rsid w:val="00122FCC"/>
    <w:rsid w:val="00127ED8"/>
    <w:rsid w:val="0013206A"/>
    <w:rsid w:val="001422D1"/>
    <w:rsid w:val="00155EF1"/>
    <w:rsid w:val="00174334"/>
    <w:rsid w:val="00175FE0"/>
    <w:rsid w:val="00182565"/>
    <w:rsid w:val="00186DA1"/>
    <w:rsid w:val="0019036A"/>
    <w:rsid w:val="001905E0"/>
    <w:rsid w:val="00194802"/>
    <w:rsid w:val="0019556D"/>
    <w:rsid w:val="00196A3A"/>
    <w:rsid w:val="001B46F3"/>
    <w:rsid w:val="001B72B2"/>
    <w:rsid w:val="001C47B3"/>
    <w:rsid w:val="001D64D1"/>
    <w:rsid w:val="001D659A"/>
    <w:rsid w:val="001D694E"/>
    <w:rsid w:val="001E1CF3"/>
    <w:rsid w:val="001F3253"/>
    <w:rsid w:val="0020658A"/>
    <w:rsid w:val="0021323D"/>
    <w:rsid w:val="0021400C"/>
    <w:rsid w:val="00217DF9"/>
    <w:rsid w:val="00222D4F"/>
    <w:rsid w:val="00224439"/>
    <w:rsid w:val="002405C8"/>
    <w:rsid w:val="0024391F"/>
    <w:rsid w:val="00250635"/>
    <w:rsid w:val="00254508"/>
    <w:rsid w:val="00254768"/>
    <w:rsid w:val="00257017"/>
    <w:rsid w:val="00260FC8"/>
    <w:rsid w:val="00267D32"/>
    <w:rsid w:val="00284B79"/>
    <w:rsid w:val="00284BDB"/>
    <w:rsid w:val="00290C8C"/>
    <w:rsid w:val="002949B3"/>
    <w:rsid w:val="002A4E01"/>
    <w:rsid w:val="002E7132"/>
    <w:rsid w:val="002E7196"/>
    <w:rsid w:val="002F1869"/>
    <w:rsid w:val="002F6E4B"/>
    <w:rsid w:val="002F7C06"/>
    <w:rsid w:val="0030040B"/>
    <w:rsid w:val="00300CF9"/>
    <w:rsid w:val="00306C97"/>
    <w:rsid w:val="003110A0"/>
    <w:rsid w:val="00330153"/>
    <w:rsid w:val="003426CA"/>
    <w:rsid w:val="00344EBD"/>
    <w:rsid w:val="003526E9"/>
    <w:rsid w:val="0035375C"/>
    <w:rsid w:val="00355FA0"/>
    <w:rsid w:val="00364229"/>
    <w:rsid w:val="003644BA"/>
    <w:rsid w:val="00370132"/>
    <w:rsid w:val="00370E3E"/>
    <w:rsid w:val="003745CB"/>
    <w:rsid w:val="00382CF4"/>
    <w:rsid w:val="003832A2"/>
    <w:rsid w:val="00395E51"/>
    <w:rsid w:val="00396D5C"/>
    <w:rsid w:val="003A493F"/>
    <w:rsid w:val="003A674A"/>
    <w:rsid w:val="003B5225"/>
    <w:rsid w:val="003C26A3"/>
    <w:rsid w:val="003D056B"/>
    <w:rsid w:val="003D0D26"/>
    <w:rsid w:val="003D1282"/>
    <w:rsid w:val="003E0BC8"/>
    <w:rsid w:val="003E365C"/>
    <w:rsid w:val="003E6D31"/>
    <w:rsid w:val="003F22EF"/>
    <w:rsid w:val="003F403D"/>
    <w:rsid w:val="00403114"/>
    <w:rsid w:val="0041558C"/>
    <w:rsid w:val="00420B1C"/>
    <w:rsid w:val="00424D7B"/>
    <w:rsid w:val="00426573"/>
    <w:rsid w:val="00431CFE"/>
    <w:rsid w:val="00432B60"/>
    <w:rsid w:val="004356C9"/>
    <w:rsid w:val="004435D9"/>
    <w:rsid w:val="0045110A"/>
    <w:rsid w:val="00451432"/>
    <w:rsid w:val="00451ACE"/>
    <w:rsid w:val="00453943"/>
    <w:rsid w:val="0045514C"/>
    <w:rsid w:val="004564D8"/>
    <w:rsid w:val="004567D5"/>
    <w:rsid w:val="004606CE"/>
    <w:rsid w:val="004613D5"/>
    <w:rsid w:val="00490208"/>
    <w:rsid w:val="00492B84"/>
    <w:rsid w:val="00494185"/>
    <w:rsid w:val="004A01A8"/>
    <w:rsid w:val="004A201A"/>
    <w:rsid w:val="004A49C4"/>
    <w:rsid w:val="004D3997"/>
    <w:rsid w:val="004D3CAD"/>
    <w:rsid w:val="004E4729"/>
    <w:rsid w:val="004E6BD7"/>
    <w:rsid w:val="004F430D"/>
    <w:rsid w:val="004F498E"/>
    <w:rsid w:val="00501CCB"/>
    <w:rsid w:val="0052490E"/>
    <w:rsid w:val="00527E37"/>
    <w:rsid w:val="00532F68"/>
    <w:rsid w:val="00535EFB"/>
    <w:rsid w:val="00551683"/>
    <w:rsid w:val="00551FFB"/>
    <w:rsid w:val="00561568"/>
    <w:rsid w:val="005650CB"/>
    <w:rsid w:val="00573905"/>
    <w:rsid w:val="00574EFA"/>
    <w:rsid w:val="0057555C"/>
    <w:rsid w:val="0059443A"/>
    <w:rsid w:val="005A3D34"/>
    <w:rsid w:val="005A51A3"/>
    <w:rsid w:val="005B6872"/>
    <w:rsid w:val="005C37E0"/>
    <w:rsid w:val="005C7AF6"/>
    <w:rsid w:val="005D4590"/>
    <w:rsid w:val="005D6B13"/>
    <w:rsid w:val="005E3313"/>
    <w:rsid w:val="005E7423"/>
    <w:rsid w:val="00600A64"/>
    <w:rsid w:val="00602C85"/>
    <w:rsid w:val="00611E0A"/>
    <w:rsid w:val="0061778E"/>
    <w:rsid w:val="00625293"/>
    <w:rsid w:val="00631B37"/>
    <w:rsid w:val="00637380"/>
    <w:rsid w:val="00641273"/>
    <w:rsid w:val="00646392"/>
    <w:rsid w:val="00647B07"/>
    <w:rsid w:val="00672A61"/>
    <w:rsid w:val="006839B4"/>
    <w:rsid w:val="00686085"/>
    <w:rsid w:val="006876A2"/>
    <w:rsid w:val="00690EE7"/>
    <w:rsid w:val="006910A6"/>
    <w:rsid w:val="0069481C"/>
    <w:rsid w:val="006B0CB1"/>
    <w:rsid w:val="006B0D55"/>
    <w:rsid w:val="006B1F62"/>
    <w:rsid w:val="006B7A1B"/>
    <w:rsid w:val="006C0DDC"/>
    <w:rsid w:val="006C6332"/>
    <w:rsid w:val="006D4008"/>
    <w:rsid w:val="006F4889"/>
    <w:rsid w:val="00710751"/>
    <w:rsid w:val="00712763"/>
    <w:rsid w:val="007151A8"/>
    <w:rsid w:val="00716A4A"/>
    <w:rsid w:val="0072451D"/>
    <w:rsid w:val="00726FD1"/>
    <w:rsid w:val="0073006D"/>
    <w:rsid w:val="00730CE4"/>
    <w:rsid w:val="00733D61"/>
    <w:rsid w:val="007361D0"/>
    <w:rsid w:val="00745E26"/>
    <w:rsid w:val="007473D5"/>
    <w:rsid w:val="00751E9E"/>
    <w:rsid w:val="00761734"/>
    <w:rsid w:val="007779D1"/>
    <w:rsid w:val="00790FDD"/>
    <w:rsid w:val="0079439A"/>
    <w:rsid w:val="00797B32"/>
    <w:rsid w:val="007B7E4D"/>
    <w:rsid w:val="007D46EA"/>
    <w:rsid w:val="007D664F"/>
    <w:rsid w:val="007F051F"/>
    <w:rsid w:val="007F404B"/>
    <w:rsid w:val="007F54AD"/>
    <w:rsid w:val="00802034"/>
    <w:rsid w:val="0080289A"/>
    <w:rsid w:val="00806A9B"/>
    <w:rsid w:val="00811A27"/>
    <w:rsid w:val="00817559"/>
    <w:rsid w:val="00824447"/>
    <w:rsid w:val="00832463"/>
    <w:rsid w:val="008475BA"/>
    <w:rsid w:val="00862A45"/>
    <w:rsid w:val="008671B9"/>
    <w:rsid w:val="0087120A"/>
    <w:rsid w:val="00872B0B"/>
    <w:rsid w:val="00874E2C"/>
    <w:rsid w:val="00880916"/>
    <w:rsid w:val="00897108"/>
    <w:rsid w:val="008C4596"/>
    <w:rsid w:val="008C54E9"/>
    <w:rsid w:val="008D1094"/>
    <w:rsid w:val="008D2298"/>
    <w:rsid w:val="008D4813"/>
    <w:rsid w:val="008F0704"/>
    <w:rsid w:val="008F26FE"/>
    <w:rsid w:val="008F6CA1"/>
    <w:rsid w:val="00912AC1"/>
    <w:rsid w:val="0093012E"/>
    <w:rsid w:val="0093155A"/>
    <w:rsid w:val="00932841"/>
    <w:rsid w:val="00955296"/>
    <w:rsid w:val="00956EAA"/>
    <w:rsid w:val="0096417D"/>
    <w:rsid w:val="009705DA"/>
    <w:rsid w:val="00972295"/>
    <w:rsid w:val="009725EB"/>
    <w:rsid w:val="009815F2"/>
    <w:rsid w:val="00981A1C"/>
    <w:rsid w:val="0098779A"/>
    <w:rsid w:val="00991433"/>
    <w:rsid w:val="009D009A"/>
    <w:rsid w:val="009D0AD2"/>
    <w:rsid w:val="009F0B3F"/>
    <w:rsid w:val="00A005B0"/>
    <w:rsid w:val="00A07566"/>
    <w:rsid w:val="00A30AFD"/>
    <w:rsid w:val="00A318EB"/>
    <w:rsid w:val="00A40A55"/>
    <w:rsid w:val="00A427A9"/>
    <w:rsid w:val="00A45EAC"/>
    <w:rsid w:val="00A50479"/>
    <w:rsid w:val="00A52C33"/>
    <w:rsid w:val="00A64009"/>
    <w:rsid w:val="00A640D7"/>
    <w:rsid w:val="00A64322"/>
    <w:rsid w:val="00A722EE"/>
    <w:rsid w:val="00A75AE2"/>
    <w:rsid w:val="00A77483"/>
    <w:rsid w:val="00A81E5A"/>
    <w:rsid w:val="00A83303"/>
    <w:rsid w:val="00A96634"/>
    <w:rsid w:val="00AA50E8"/>
    <w:rsid w:val="00AA7328"/>
    <w:rsid w:val="00AB423A"/>
    <w:rsid w:val="00AD0E00"/>
    <w:rsid w:val="00AE78FA"/>
    <w:rsid w:val="00AF2A43"/>
    <w:rsid w:val="00AF40A5"/>
    <w:rsid w:val="00AF47A4"/>
    <w:rsid w:val="00AF5DB3"/>
    <w:rsid w:val="00B0041F"/>
    <w:rsid w:val="00B062D9"/>
    <w:rsid w:val="00B25F89"/>
    <w:rsid w:val="00B27144"/>
    <w:rsid w:val="00B321EE"/>
    <w:rsid w:val="00B35DE8"/>
    <w:rsid w:val="00B475D2"/>
    <w:rsid w:val="00B61E0D"/>
    <w:rsid w:val="00B85D08"/>
    <w:rsid w:val="00B90BA4"/>
    <w:rsid w:val="00BA0E02"/>
    <w:rsid w:val="00BA2A55"/>
    <w:rsid w:val="00BB6229"/>
    <w:rsid w:val="00BC5317"/>
    <w:rsid w:val="00BD015B"/>
    <w:rsid w:val="00BD0F0A"/>
    <w:rsid w:val="00BD7663"/>
    <w:rsid w:val="00BF607E"/>
    <w:rsid w:val="00C1304E"/>
    <w:rsid w:val="00C163B6"/>
    <w:rsid w:val="00C216BF"/>
    <w:rsid w:val="00C24843"/>
    <w:rsid w:val="00C370AA"/>
    <w:rsid w:val="00C56AC9"/>
    <w:rsid w:val="00CA2B99"/>
    <w:rsid w:val="00CA4E67"/>
    <w:rsid w:val="00CB5BB2"/>
    <w:rsid w:val="00CC2760"/>
    <w:rsid w:val="00CC28A5"/>
    <w:rsid w:val="00CC2EB0"/>
    <w:rsid w:val="00CE1203"/>
    <w:rsid w:val="00CE32ED"/>
    <w:rsid w:val="00CF1104"/>
    <w:rsid w:val="00CF3761"/>
    <w:rsid w:val="00CF50A0"/>
    <w:rsid w:val="00D00D97"/>
    <w:rsid w:val="00D05B4D"/>
    <w:rsid w:val="00D1052B"/>
    <w:rsid w:val="00D248E2"/>
    <w:rsid w:val="00D25F15"/>
    <w:rsid w:val="00D26DBC"/>
    <w:rsid w:val="00D47148"/>
    <w:rsid w:val="00D57B79"/>
    <w:rsid w:val="00D60911"/>
    <w:rsid w:val="00D801E7"/>
    <w:rsid w:val="00D8378B"/>
    <w:rsid w:val="00D8441A"/>
    <w:rsid w:val="00D877AA"/>
    <w:rsid w:val="00D94257"/>
    <w:rsid w:val="00D95843"/>
    <w:rsid w:val="00D9695C"/>
    <w:rsid w:val="00D97AE0"/>
    <w:rsid w:val="00DA5D1A"/>
    <w:rsid w:val="00DB01E2"/>
    <w:rsid w:val="00DC17B2"/>
    <w:rsid w:val="00DC7219"/>
    <w:rsid w:val="00DE06FF"/>
    <w:rsid w:val="00DF10BC"/>
    <w:rsid w:val="00DF2251"/>
    <w:rsid w:val="00DF2F5F"/>
    <w:rsid w:val="00DF604C"/>
    <w:rsid w:val="00E02F99"/>
    <w:rsid w:val="00E05B36"/>
    <w:rsid w:val="00E1023A"/>
    <w:rsid w:val="00E22115"/>
    <w:rsid w:val="00E32F48"/>
    <w:rsid w:val="00E36FE9"/>
    <w:rsid w:val="00E47BC8"/>
    <w:rsid w:val="00E54C0C"/>
    <w:rsid w:val="00E564B4"/>
    <w:rsid w:val="00E6105A"/>
    <w:rsid w:val="00E7226A"/>
    <w:rsid w:val="00E874B5"/>
    <w:rsid w:val="00EA32D3"/>
    <w:rsid w:val="00EB43C6"/>
    <w:rsid w:val="00EB6395"/>
    <w:rsid w:val="00EC0618"/>
    <w:rsid w:val="00EC7DC3"/>
    <w:rsid w:val="00ED07B4"/>
    <w:rsid w:val="00ED2001"/>
    <w:rsid w:val="00ED2D7A"/>
    <w:rsid w:val="00ED64F9"/>
    <w:rsid w:val="00EE7698"/>
    <w:rsid w:val="00EF63A9"/>
    <w:rsid w:val="00F00D74"/>
    <w:rsid w:val="00F07B0D"/>
    <w:rsid w:val="00F10CB4"/>
    <w:rsid w:val="00F11682"/>
    <w:rsid w:val="00F12DAA"/>
    <w:rsid w:val="00F13DAC"/>
    <w:rsid w:val="00F21AA8"/>
    <w:rsid w:val="00F43EDB"/>
    <w:rsid w:val="00F45924"/>
    <w:rsid w:val="00F46757"/>
    <w:rsid w:val="00F47655"/>
    <w:rsid w:val="00F476F9"/>
    <w:rsid w:val="00F530F0"/>
    <w:rsid w:val="00F67755"/>
    <w:rsid w:val="00F82472"/>
    <w:rsid w:val="00F851C6"/>
    <w:rsid w:val="00FA2BFB"/>
    <w:rsid w:val="00FA40D2"/>
    <w:rsid w:val="00FA7AAA"/>
    <w:rsid w:val="00FB2585"/>
    <w:rsid w:val="00FC30A6"/>
    <w:rsid w:val="00FD0871"/>
    <w:rsid w:val="00FD1E58"/>
    <w:rsid w:val="00FD4496"/>
    <w:rsid w:val="00FD5CF0"/>
    <w:rsid w:val="00FE0C22"/>
    <w:rsid w:val="00FE643C"/>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1073"/>
    <o:shapelayout v:ext="edit">
      <o:idmap v:ext="edit" data="1"/>
    </o:shapelayout>
  </w:shapeDefaults>
  <w:decimalSymbol w:val=","/>
  <w:listSeparator w:val=";"/>
  <w14:docId w14:val="5B31A16D"/>
  <w15:chartTrackingRefBased/>
  <w15:docId w15:val="{3120B22E-442E-4CC6-B0F0-6A2B23532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CH" w:eastAsia="fr-CH"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F15"/>
    <w:pPr>
      <w:spacing w:after="200" w:line="276" w:lineRule="auto"/>
    </w:pPr>
    <w:rPr>
      <w:sz w:val="22"/>
      <w:szCs w:val="22"/>
      <w:lang w:val="fr-FR" w:eastAsia="en-US"/>
    </w:rPr>
  </w:style>
  <w:style w:type="paragraph" w:styleId="Titre1">
    <w:name w:val="heading 1"/>
    <w:basedOn w:val="Normal"/>
    <w:next w:val="Normal"/>
    <w:link w:val="Titre1Car"/>
    <w:qFormat/>
    <w:rsid w:val="00431B94"/>
    <w:pPr>
      <w:keepNext/>
      <w:spacing w:after="0" w:line="240" w:lineRule="auto"/>
      <w:jc w:val="center"/>
      <w:outlineLvl w:val="0"/>
    </w:pPr>
    <w:rPr>
      <w:rFonts w:ascii="Gill Sans" w:eastAsia="Cambria" w:hAnsi="Gill Sans"/>
      <w:b/>
      <w:sz w:val="28"/>
      <w:szCs w:val="24"/>
      <w:lang w:val="fr-CA"/>
    </w:rPr>
  </w:style>
  <w:style w:type="paragraph" w:styleId="Titre2">
    <w:name w:val="heading 2"/>
    <w:basedOn w:val="Normal"/>
    <w:next w:val="Normal"/>
    <w:link w:val="Titre2Car"/>
    <w:uiPriority w:val="9"/>
    <w:semiHidden/>
    <w:unhideWhenUsed/>
    <w:qFormat/>
    <w:rsid w:val="002E71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956EA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956EA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couleur-Accent11">
    <w:name w:val="Liste couleur - Accent 11"/>
    <w:basedOn w:val="Normal"/>
    <w:uiPriority w:val="34"/>
    <w:qFormat/>
    <w:rsid w:val="00802034"/>
    <w:pPr>
      <w:ind w:left="720"/>
      <w:contextualSpacing/>
    </w:pPr>
  </w:style>
  <w:style w:type="paragraph" w:styleId="PrformatHTML">
    <w:name w:val="HTML Preformatted"/>
    <w:basedOn w:val="Normal"/>
    <w:link w:val="PrformatHTMLCar"/>
    <w:uiPriority w:val="99"/>
    <w:unhideWhenUsed/>
    <w:rsid w:val="009E5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link w:val="PrformatHTML"/>
    <w:uiPriority w:val="99"/>
    <w:rsid w:val="009E5931"/>
    <w:rPr>
      <w:rFonts w:ascii="Courier New" w:eastAsia="Times New Roman" w:hAnsi="Courier New" w:cs="Courier New"/>
      <w:sz w:val="20"/>
      <w:szCs w:val="20"/>
      <w:lang w:eastAsia="fr-FR"/>
    </w:rPr>
  </w:style>
  <w:style w:type="paragraph" w:styleId="En-tte">
    <w:name w:val="header"/>
    <w:basedOn w:val="Normal"/>
    <w:link w:val="En-tteCar"/>
    <w:uiPriority w:val="99"/>
    <w:unhideWhenUsed/>
    <w:rsid w:val="002A7AE5"/>
    <w:pPr>
      <w:tabs>
        <w:tab w:val="center" w:pos="4536"/>
        <w:tab w:val="right" w:pos="9072"/>
      </w:tabs>
      <w:spacing w:after="0" w:line="240" w:lineRule="auto"/>
    </w:pPr>
  </w:style>
  <w:style w:type="character" w:customStyle="1" w:styleId="En-tteCar">
    <w:name w:val="En-tête Car"/>
    <w:basedOn w:val="Policepardfaut"/>
    <w:link w:val="En-tte"/>
    <w:uiPriority w:val="99"/>
    <w:rsid w:val="002A7AE5"/>
  </w:style>
  <w:style w:type="paragraph" w:styleId="Pieddepage">
    <w:name w:val="footer"/>
    <w:basedOn w:val="Normal"/>
    <w:link w:val="PieddepageCar"/>
    <w:uiPriority w:val="99"/>
    <w:unhideWhenUsed/>
    <w:rsid w:val="002A7AE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A7AE5"/>
  </w:style>
  <w:style w:type="paragraph" w:styleId="Textedebulles">
    <w:name w:val="Balloon Text"/>
    <w:basedOn w:val="Normal"/>
    <w:link w:val="TextedebullesCar"/>
    <w:uiPriority w:val="99"/>
    <w:semiHidden/>
    <w:unhideWhenUsed/>
    <w:rsid w:val="002A7AE5"/>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2A7AE5"/>
    <w:rPr>
      <w:rFonts w:ascii="Tahoma" w:hAnsi="Tahoma" w:cs="Tahoma"/>
      <w:sz w:val="16"/>
      <w:szCs w:val="16"/>
    </w:rPr>
  </w:style>
  <w:style w:type="paragraph" w:customStyle="1" w:styleId="Default">
    <w:name w:val="Default"/>
    <w:rsid w:val="005C6331"/>
    <w:pPr>
      <w:autoSpaceDE w:val="0"/>
      <w:autoSpaceDN w:val="0"/>
      <w:adjustRightInd w:val="0"/>
    </w:pPr>
    <w:rPr>
      <w:rFonts w:cs="Calibri"/>
      <w:color w:val="000000"/>
      <w:sz w:val="24"/>
      <w:szCs w:val="24"/>
      <w:lang w:eastAsia="en-US"/>
    </w:rPr>
  </w:style>
  <w:style w:type="character" w:styleId="Lienhypertexte">
    <w:name w:val="Hyperlink"/>
    <w:uiPriority w:val="99"/>
    <w:unhideWhenUsed/>
    <w:rsid w:val="005C6331"/>
    <w:rPr>
      <w:color w:val="0000FF"/>
      <w:u w:val="single"/>
    </w:rPr>
  </w:style>
  <w:style w:type="paragraph" w:customStyle="1" w:styleId="Paragraphestandard">
    <w:name w:val="[Paragraphe standard]"/>
    <w:basedOn w:val="Normal"/>
    <w:uiPriority w:val="99"/>
    <w:rsid w:val="009E0200"/>
    <w:pPr>
      <w:widowControl w:val="0"/>
      <w:autoSpaceDE w:val="0"/>
      <w:autoSpaceDN w:val="0"/>
      <w:adjustRightInd w:val="0"/>
      <w:spacing w:after="0" w:line="288" w:lineRule="auto"/>
      <w:textAlignment w:val="center"/>
    </w:pPr>
    <w:rPr>
      <w:rFonts w:ascii="Times-Roman" w:eastAsia="Times New Roman" w:hAnsi="Times-Roman"/>
      <w:color w:val="000000"/>
      <w:sz w:val="24"/>
      <w:szCs w:val="20"/>
      <w:lang w:eastAsia="fr-CH"/>
    </w:rPr>
  </w:style>
  <w:style w:type="character" w:customStyle="1" w:styleId="Titre1Car">
    <w:name w:val="Titre 1 Car"/>
    <w:link w:val="Titre1"/>
    <w:rsid w:val="00431B94"/>
    <w:rPr>
      <w:rFonts w:ascii="Gill Sans" w:eastAsia="Cambria" w:hAnsi="Gill Sans" w:cs="Times New Roman"/>
      <w:b/>
      <w:sz w:val="28"/>
      <w:szCs w:val="24"/>
      <w:lang w:val="fr-CA"/>
    </w:rPr>
  </w:style>
  <w:style w:type="paragraph" w:styleId="NormalWeb">
    <w:name w:val="Normal (Web)"/>
    <w:basedOn w:val="Normal"/>
    <w:uiPriority w:val="99"/>
    <w:rsid w:val="00BB38BB"/>
    <w:pPr>
      <w:spacing w:beforeLines="1" w:before="2" w:afterLines="1" w:after="2" w:line="240" w:lineRule="auto"/>
      <w:jc w:val="both"/>
    </w:pPr>
    <w:rPr>
      <w:rFonts w:eastAsia="Cambria"/>
      <w:szCs w:val="20"/>
      <w:lang w:val="en-US" w:eastAsia="it-IT"/>
    </w:rPr>
  </w:style>
  <w:style w:type="character" w:customStyle="1" w:styleId="longtext">
    <w:name w:val="long_text"/>
    <w:basedOn w:val="Policepardfaut"/>
    <w:rsid w:val="00BB38BB"/>
  </w:style>
  <w:style w:type="paragraph" w:styleId="Textebrut">
    <w:name w:val="Plain Text"/>
    <w:basedOn w:val="Normal"/>
    <w:link w:val="TextebrutCar"/>
    <w:uiPriority w:val="99"/>
    <w:semiHidden/>
    <w:unhideWhenUsed/>
    <w:rsid w:val="00D05B4D"/>
    <w:pPr>
      <w:spacing w:after="0" w:line="240" w:lineRule="auto"/>
    </w:pPr>
    <w:rPr>
      <w:rFonts w:ascii="Consolas" w:hAnsi="Consolas"/>
      <w:sz w:val="21"/>
      <w:szCs w:val="21"/>
    </w:rPr>
  </w:style>
  <w:style w:type="character" w:customStyle="1" w:styleId="TextebrutCar">
    <w:name w:val="Texte brut Car"/>
    <w:link w:val="Textebrut"/>
    <w:uiPriority w:val="99"/>
    <w:semiHidden/>
    <w:rsid w:val="00D05B4D"/>
    <w:rPr>
      <w:rFonts w:ascii="Consolas" w:eastAsia="Calibri" w:hAnsi="Consolas" w:cs="Times New Roman"/>
      <w:sz w:val="21"/>
      <w:szCs w:val="21"/>
      <w:lang w:eastAsia="en-US"/>
    </w:rPr>
  </w:style>
  <w:style w:type="character" w:customStyle="1" w:styleId="longtext1">
    <w:name w:val="long_text1"/>
    <w:rsid w:val="00897108"/>
    <w:rPr>
      <w:sz w:val="20"/>
      <w:szCs w:val="20"/>
    </w:rPr>
  </w:style>
  <w:style w:type="character" w:styleId="Marquedecommentaire">
    <w:name w:val="annotation reference"/>
    <w:basedOn w:val="Policepardfaut"/>
    <w:uiPriority w:val="99"/>
    <w:semiHidden/>
    <w:unhideWhenUsed/>
    <w:rsid w:val="003E0BC8"/>
    <w:rPr>
      <w:sz w:val="16"/>
      <w:szCs w:val="16"/>
    </w:rPr>
  </w:style>
  <w:style w:type="paragraph" w:styleId="Commentaire">
    <w:name w:val="annotation text"/>
    <w:basedOn w:val="Normal"/>
    <w:link w:val="CommentaireCar"/>
    <w:uiPriority w:val="99"/>
    <w:semiHidden/>
    <w:unhideWhenUsed/>
    <w:rsid w:val="003E0BC8"/>
    <w:pPr>
      <w:spacing w:line="240" w:lineRule="auto"/>
    </w:pPr>
    <w:rPr>
      <w:sz w:val="20"/>
      <w:szCs w:val="20"/>
    </w:rPr>
  </w:style>
  <w:style w:type="character" w:customStyle="1" w:styleId="CommentaireCar">
    <w:name w:val="Commentaire Car"/>
    <w:basedOn w:val="Policepardfaut"/>
    <w:link w:val="Commentaire"/>
    <w:uiPriority w:val="99"/>
    <w:semiHidden/>
    <w:rsid w:val="003E0BC8"/>
    <w:rPr>
      <w:lang w:val="fr-FR" w:eastAsia="en-US"/>
    </w:rPr>
  </w:style>
  <w:style w:type="paragraph" w:styleId="Objetducommentaire">
    <w:name w:val="annotation subject"/>
    <w:basedOn w:val="Commentaire"/>
    <w:next w:val="Commentaire"/>
    <w:link w:val="ObjetducommentaireCar"/>
    <w:uiPriority w:val="99"/>
    <w:semiHidden/>
    <w:unhideWhenUsed/>
    <w:rsid w:val="003E0BC8"/>
    <w:rPr>
      <w:b/>
      <w:bCs/>
    </w:rPr>
  </w:style>
  <w:style w:type="character" w:customStyle="1" w:styleId="ObjetducommentaireCar">
    <w:name w:val="Objet du commentaire Car"/>
    <w:basedOn w:val="CommentaireCar"/>
    <w:link w:val="Objetducommentaire"/>
    <w:uiPriority w:val="99"/>
    <w:semiHidden/>
    <w:rsid w:val="003E0BC8"/>
    <w:rPr>
      <w:b/>
      <w:bCs/>
      <w:lang w:val="fr-FR" w:eastAsia="en-US"/>
    </w:rPr>
  </w:style>
  <w:style w:type="paragraph" w:styleId="Paragraphedeliste">
    <w:name w:val="List Paragraph"/>
    <w:basedOn w:val="Normal"/>
    <w:uiPriority w:val="34"/>
    <w:qFormat/>
    <w:rsid w:val="00E05B36"/>
    <w:pPr>
      <w:spacing w:before="100" w:beforeAutospacing="1" w:after="100" w:afterAutospacing="1" w:line="240" w:lineRule="auto"/>
    </w:pPr>
    <w:rPr>
      <w:rFonts w:ascii="Times New Roman" w:eastAsiaTheme="minorHAnsi" w:hAnsi="Times New Roman"/>
      <w:sz w:val="24"/>
      <w:szCs w:val="24"/>
      <w:lang w:val="fr-CH" w:eastAsia="fr-CH"/>
    </w:rPr>
  </w:style>
  <w:style w:type="paragraph" w:customStyle="1" w:styleId="a">
    <w:name w:val="Текстовый блок"/>
    <w:rsid w:val="00222D4F"/>
    <w:rPr>
      <w:rFonts w:ascii="Helvetica" w:eastAsia="Arial Unicode MS" w:hAnsi="Helvetica" w:cs="Arial Unicode MS"/>
      <w:color w:val="000000"/>
      <w:sz w:val="22"/>
      <w:szCs w:val="22"/>
    </w:rPr>
  </w:style>
  <w:style w:type="character" w:customStyle="1" w:styleId="Titre2Car">
    <w:name w:val="Titre 2 Car"/>
    <w:basedOn w:val="Policepardfaut"/>
    <w:link w:val="Titre2"/>
    <w:uiPriority w:val="9"/>
    <w:semiHidden/>
    <w:rsid w:val="002E7132"/>
    <w:rPr>
      <w:rFonts w:asciiTheme="majorHAnsi" w:eastAsiaTheme="majorEastAsia" w:hAnsiTheme="majorHAnsi" w:cstheme="majorBidi"/>
      <w:color w:val="2E74B5" w:themeColor="accent1" w:themeShade="BF"/>
      <w:sz w:val="26"/>
      <w:szCs w:val="26"/>
      <w:lang w:val="fr-FR" w:eastAsia="en-US"/>
    </w:rPr>
  </w:style>
  <w:style w:type="character" w:styleId="Accentuation">
    <w:name w:val="Emphasis"/>
    <w:basedOn w:val="Policepardfaut"/>
    <w:uiPriority w:val="20"/>
    <w:qFormat/>
    <w:rsid w:val="00745E26"/>
    <w:rPr>
      <w:i/>
      <w:iCs/>
    </w:rPr>
  </w:style>
  <w:style w:type="paragraph" w:styleId="Notedebasdepage">
    <w:name w:val="footnote text"/>
    <w:basedOn w:val="Normal"/>
    <w:link w:val="NotedebasdepageCar"/>
    <w:uiPriority w:val="99"/>
    <w:semiHidden/>
    <w:unhideWhenUsed/>
    <w:rsid w:val="0057555C"/>
    <w:pPr>
      <w:spacing w:after="0" w:line="240" w:lineRule="auto"/>
    </w:pPr>
    <w:rPr>
      <w:rFonts w:asciiTheme="minorHAnsi" w:eastAsiaTheme="minorHAnsi" w:hAnsiTheme="minorHAnsi" w:cstheme="minorBidi"/>
      <w:sz w:val="20"/>
      <w:szCs w:val="20"/>
      <w:lang w:val="en-US"/>
    </w:rPr>
  </w:style>
  <w:style w:type="character" w:customStyle="1" w:styleId="NotedebasdepageCar">
    <w:name w:val="Note de bas de page Car"/>
    <w:basedOn w:val="Policepardfaut"/>
    <w:link w:val="Notedebasdepage"/>
    <w:uiPriority w:val="99"/>
    <w:semiHidden/>
    <w:rsid w:val="0057555C"/>
    <w:rPr>
      <w:rFonts w:asciiTheme="minorHAnsi" w:eastAsiaTheme="minorHAnsi" w:hAnsiTheme="minorHAnsi" w:cstheme="minorBidi"/>
      <w:lang w:val="en-US" w:eastAsia="en-US"/>
    </w:rPr>
  </w:style>
  <w:style w:type="character" w:styleId="Appelnotedebasdep">
    <w:name w:val="footnote reference"/>
    <w:basedOn w:val="Policepardfaut"/>
    <w:uiPriority w:val="99"/>
    <w:semiHidden/>
    <w:unhideWhenUsed/>
    <w:rsid w:val="0057555C"/>
    <w:rPr>
      <w:vertAlign w:val="superscript"/>
    </w:rPr>
  </w:style>
  <w:style w:type="character" w:customStyle="1" w:styleId="publisher">
    <w:name w:val="publisher"/>
    <w:basedOn w:val="Policepardfaut"/>
    <w:rsid w:val="0057555C"/>
  </w:style>
  <w:style w:type="character" w:customStyle="1" w:styleId="publicationdate">
    <w:name w:val="publicationdate"/>
    <w:basedOn w:val="Policepardfaut"/>
    <w:rsid w:val="0057555C"/>
  </w:style>
  <w:style w:type="paragraph" w:styleId="Rvision">
    <w:name w:val="Revision"/>
    <w:hidden/>
    <w:uiPriority w:val="99"/>
    <w:semiHidden/>
    <w:rsid w:val="00DF2F5F"/>
    <w:rPr>
      <w:sz w:val="22"/>
      <w:szCs w:val="22"/>
      <w:lang w:val="fr-FR" w:eastAsia="en-US"/>
    </w:rPr>
  </w:style>
  <w:style w:type="character" w:styleId="Mentionnonrsolue">
    <w:name w:val="Unresolved Mention"/>
    <w:basedOn w:val="Policepardfaut"/>
    <w:uiPriority w:val="99"/>
    <w:semiHidden/>
    <w:unhideWhenUsed/>
    <w:rsid w:val="002A4E01"/>
    <w:rPr>
      <w:color w:val="605E5C"/>
      <w:shd w:val="clear" w:color="auto" w:fill="E1DFDD"/>
    </w:rPr>
  </w:style>
  <w:style w:type="paragraph" w:styleId="Sansinterligne">
    <w:name w:val="No Spacing"/>
    <w:uiPriority w:val="1"/>
    <w:qFormat/>
    <w:rsid w:val="00A722EE"/>
    <w:rPr>
      <w:sz w:val="22"/>
      <w:szCs w:val="22"/>
      <w:lang w:val="fr-FR" w:eastAsia="en-US"/>
    </w:rPr>
  </w:style>
  <w:style w:type="character" w:customStyle="1" w:styleId="Titre3Car">
    <w:name w:val="Titre 3 Car"/>
    <w:basedOn w:val="Policepardfaut"/>
    <w:link w:val="Titre3"/>
    <w:uiPriority w:val="9"/>
    <w:semiHidden/>
    <w:rsid w:val="00956EAA"/>
    <w:rPr>
      <w:rFonts w:asciiTheme="majorHAnsi" w:eastAsiaTheme="majorEastAsia" w:hAnsiTheme="majorHAnsi" w:cstheme="majorBidi"/>
      <w:color w:val="1F4D78" w:themeColor="accent1" w:themeShade="7F"/>
      <w:sz w:val="24"/>
      <w:szCs w:val="24"/>
      <w:lang w:val="fr-FR" w:eastAsia="en-US"/>
    </w:rPr>
  </w:style>
  <w:style w:type="character" w:customStyle="1" w:styleId="Titre4Car">
    <w:name w:val="Titre 4 Car"/>
    <w:basedOn w:val="Policepardfaut"/>
    <w:link w:val="Titre4"/>
    <w:uiPriority w:val="9"/>
    <w:semiHidden/>
    <w:rsid w:val="00956EAA"/>
    <w:rPr>
      <w:rFonts w:asciiTheme="majorHAnsi" w:eastAsiaTheme="majorEastAsia" w:hAnsiTheme="majorHAnsi" w:cstheme="majorBidi"/>
      <w:i/>
      <w:iCs/>
      <w:color w:val="2E74B5" w:themeColor="accent1" w:themeShade="BF"/>
      <w:sz w:val="22"/>
      <w:szCs w:val="22"/>
      <w:lang w:val="fr-FR" w:eastAsia="en-US"/>
    </w:rPr>
  </w:style>
  <w:style w:type="character" w:styleId="Lienhypertextesuivivisit">
    <w:name w:val="FollowedHyperlink"/>
    <w:basedOn w:val="Policepardfaut"/>
    <w:uiPriority w:val="99"/>
    <w:semiHidden/>
    <w:unhideWhenUsed/>
    <w:rsid w:val="00284B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84340">
      <w:bodyDiv w:val="1"/>
      <w:marLeft w:val="0"/>
      <w:marRight w:val="0"/>
      <w:marTop w:val="0"/>
      <w:marBottom w:val="0"/>
      <w:divBdr>
        <w:top w:val="none" w:sz="0" w:space="0" w:color="auto"/>
        <w:left w:val="none" w:sz="0" w:space="0" w:color="auto"/>
        <w:bottom w:val="none" w:sz="0" w:space="0" w:color="auto"/>
        <w:right w:val="none" w:sz="0" w:space="0" w:color="auto"/>
      </w:divBdr>
    </w:div>
    <w:div w:id="64424919">
      <w:bodyDiv w:val="1"/>
      <w:marLeft w:val="0"/>
      <w:marRight w:val="0"/>
      <w:marTop w:val="0"/>
      <w:marBottom w:val="0"/>
      <w:divBdr>
        <w:top w:val="none" w:sz="0" w:space="0" w:color="auto"/>
        <w:left w:val="none" w:sz="0" w:space="0" w:color="auto"/>
        <w:bottom w:val="none" w:sz="0" w:space="0" w:color="auto"/>
        <w:right w:val="none" w:sz="0" w:space="0" w:color="auto"/>
      </w:divBdr>
    </w:div>
    <w:div w:id="83647085">
      <w:bodyDiv w:val="1"/>
      <w:marLeft w:val="0"/>
      <w:marRight w:val="0"/>
      <w:marTop w:val="0"/>
      <w:marBottom w:val="0"/>
      <w:divBdr>
        <w:top w:val="none" w:sz="0" w:space="0" w:color="auto"/>
        <w:left w:val="none" w:sz="0" w:space="0" w:color="auto"/>
        <w:bottom w:val="none" w:sz="0" w:space="0" w:color="auto"/>
        <w:right w:val="none" w:sz="0" w:space="0" w:color="auto"/>
      </w:divBdr>
    </w:div>
    <w:div w:id="290744894">
      <w:bodyDiv w:val="1"/>
      <w:marLeft w:val="0"/>
      <w:marRight w:val="0"/>
      <w:marTop w:val="0"/>
      <w:marBottom w:val="0"/>
      <w:divBdr>
        <w:top w:val="none" w:sz="0" w:space="0" w:color="auto"/>
        <w:left w:val="none" w:sz="0" w:space="0" w:color="auto"/>
        <w:bottom w:val="none" w:sz="0" w:space="0" w:color="auto"/>
        <w:right w:val="none" w:sz="0" w:space="0" w:color="auto"/>
      </w:divBdr>
    </w:div>
    <w:div w:id="343439812">
      <w:bodyDiv w:val="1"/>
      <w:marLeft w:val="0"/>
      <w:marRight w:val="0"/>
      <w:marTop w:val="0"/>
      <w:marBottom w:val="0"/>
      <w:divBdr>
        <w:top w:val="none" w:sz="0" w:space="0" w:color="auto"/>
        <w:left w:val="none" w:sz="0" w:space="0" w:color="auto"/>
        <w:bottom w:val="none" w:sz="0" w:space="0" w:color="auto"/>
        <w:right w:val="none" w:sz="0" w:space="0" w:color="auto"/>
      </w:divBdr>
    </w:div>
    <w:div w:id="356732295">
      <w:bodyDiv w:val="1"/>
      <w:marLeft w:val="0"/>
      <w:marRight w:val="0"/>
      <w:marTop w:val="0"/>
      <w:marBottom w:val="0"/>
      <w:divBdr>
        <w:top w:val="none" w:sz="0" w:space="0" w:color="auto"/>
        <w:left w:val="none" w:sz="0" w:space="0" w:color="auto"/>
        <w:bottom w:val="none" w:sz="0" w:space="0" w:color="auto"/>
        <w:right w:val="none" w:sz="0" w:space="0" w:color="auto"/>
      </w:divBdr>
    </w:div>
    <w:div w:id="445973108">
      <w:bodyDiv w:val="1"/>
      <w:marLeft w:val="0"/>
      <w:marRight w:val="0"/>
      <w:marTop w:val="0"/>
      <w:marBottom w:val="0"/>
      <w:divBdr>
        <w:top w:val="none" w:sz="0" w:space="0" w:color="auto"/>
        <w:left w:val="none" w:sz="0" w:space="0" w:color="auto"/>
        <w:bottom w:val="none" w:sz="0" w:space="0" w:color="auto"/>
        <w:right w:val="none" w:sz="0" w:space="0" w:color="auto"/>
      </w:divBdr>
    </w:div>
    <w:div w:id="448161576">
      <w:bodyDiv w:val="1"/>
      <w:marLeft w:val="0"/>
      <w:marRight w:val="0"/>
      <w:marTop w:val="0"/>
      <w:marBottom w:val="0"/>
      <w:divBdr>
        <w:top w:val="none" w:sz="0" w:space="0" w:color="auto"/>
        <w:left w:val="none" w:sz="0" w:space="0" w:color="auto"/>
        <w:bottom w:val="none" w:sz="0" w:space="0" w:color="auto"/>
        <w:right w:val="none" w:sz="0" w:space="0" w:color="auto"/>
      </w:divBdr>
    </w:div>
    <w:div w:id="479536730">
      <w:bodyDiv w:val="1"/>
      <w:marLeft w:val="0"/>
      <w:marRight w:val="0"/>
      <w:marTop w:val="0"/>
      <w:marBottom w:val="0"/>
      <w:divBdr>
        <w:top w:val="none" w:sz="0" w:space="0" w:color="auto"/>
        <w:left w:val="none" w:sz="0" w:space="0" w:color="auto"/>
        <w:bottom w:val="none" w:sz="0" w:space="0" w:color="auto"/>
        <w:right w:val="none" w:sz="0" w:space="0" w:color="auto"/>
      </w:divBdr>
    </w:div>
    <w:div w:id="514927818">
      <w:bodyDiv w:val="1"/>
      <w:marLeft w:val="0"/>
      <w:marRight w:val="0"/>
      <w:marTop w:val="0"/>
      <w:marBottom w:val="0"/>
      <w:divBdr>
        <w:top w:val="none" w:sz="0" w:space="0" w:color="auto"/>
        <w:left w:val="none" w:sz="0" w:space="0" w:color="auto"/>
        <w:bottom w:val="none" w:sz="0" w:space="0" w:color="auto"/>
        <w:right w:val="none" w:sz="0" w:space="0" w:color="auto"/>
      </w:divBdr>
    </w:div>
    <w:div w:id="579025627">
      <w:bodyDiv w:val="1"/>
      <w:marLeft w:val="0"/>
      <w:marRight w:val="0"/>
      <w:marTop w:val="0"/>
      <w:marBottom w:val="0"/>
      <w:divBdr>
        <w:top w:val="none" w:sz="0" w:space="0" w:color="auto"/>
        <w:left w:val="none" w:sz="0" w:space="0" w:color="auto"/>
        <w:bottom w:val="none" w:sz="0" w:space="0" w:color="auto"/>
        <w:right w:val="none" w:sz="0" w:space="0" w:color="auto"/>
      </w:divBdr>
    </w:div>
    <w:div w:id="592936747">
      <w:bodyDiv w:val="1"/>
      <w:marLeft w:val="0"/>
      <w:marRight w:val="0"/>
      <w:marTop w:val="0"/>
      <w:marBottom w:val="0"/>
      <w:divBdr>
        <w:top w:val="none" w:sz="0" w:space="0" w:color="auto"/>
        <w:left w:val="none" w:sz="0" w:space="0" w:color="auto"/>
        <w:bottom w:val="none" w:sz="0" w:space="0" w:color="auto"/>
        <w:right w:val="none" w:sz="0" w:space="0" w:color="auto"/>
      </w:divBdr>
    </w:div>
    <w:div w:id="632489311">
      <w:bodyDiv w:val="1"/>
      <w:marLeft w:val="0"/>
      <w:marRight w:val="0"/>
      <w:marTop w:val="0"/>
      <w:marBottom w:val="0"/>
      <w:divBdr>
        <w:top w:val="none" w:sz="0" w:space="0" w:color="auto"/>
        <w:left w:val="none" w:sz="0" w:space="0" w:color="auto"/>
        <w:bottom w:val="none" w:sz="0" w:space="0" w:color="auto"/>
        <w:right w:val="none" w:sz="0" w:space="0" w:color="auto"/>
      </w:divBdr>
    </w:div>
    <w:div w:id="641422277">
      <w:bodyDiv w:val="1"/>
      <w:marLeft w:val="0"/>
      <w:marRight w:val="0"/>
      <w:marTop w:val="0"/>
      <w:marBottom w:val="0"/>
      <w:divBdr>
        <w:top w:val="none" w:sz="0" w:space="0" w:color="auto"/>
        <w:left w:val="none" w:sz="0" w:space="0" w:color="auto"/>
        <w:bottom w:val="none" w:sz="0" w:space="0" w:color="auto"/>
        <w:right w:val="none" w:sz="0" w:space="0" w:color="auto"/>
      </w:divBdr>
    </w:div>
    <w:div w:id="650868993">
      <w:bodyDiv w:val="1"/>
      <w:marLeft w:val="0"/>
      <w:marRight w:val="0"/>
      <w:marTop w:val="0"/>
      <w:marBottom w:val="0"/>
      <w:divBdr>
        <w:top w:val="none" w:sz="0" w:space="0" w:color="auto"/>
        <w:left w:val="none" w:sz="0" w:space="0" w:color="auto"/>
        <w:bottom w:val="none" w:sz="0" w:space="0" w:color="auto"/>
        <w:right w:val="none" w:sz="0" w:space="0" w:color="auto"/>
      </w:divBdr>
      <w:divsChild>
        <w:div w:id="1377004139">
          <w:marLeft w:val="0"/>
          <w:marRight w:val="0"/>
          <w:marTop w:val="0"/>
          <w:marBottom w:val="0"/>
          <w:divBdr>
            <w:top w:val="none" w:sz="0" w:space="0" w:color="auto"/>
            <w:left w:val="none" w:sz="0" w:space="0" w:color="auto"/>
            <w:bottom w:val="none" w:sz="0" w:space="0" w:color="auto"/>
            <w:right w:val="none" w:sz="0" w:space="0" w:color="auto"/>
          </w:divBdr>
        </w:div>
      </w:divsChild>
    </w:div>
    <w:div w:id="755135506">
      <w:bodyDiv w:val="1"/>
      <w:marLeft w:val="0"/>
      <w:marRight w:val="0"/>
      <w:marTop w:val="0"/>
      <w:marBottom w:val="0"/>
      <w:divBdr>
        <w:top w:val="none" w:sz="0" w:space="0" w:color="auto"/>
        <w:left w:val="none" w:sz="0" w:space="0" w:color="auto"/>
        <w:bottom w:val="none" w:sz="0" w:space="0" w:color="auto"/>
        <w:right w:val="none" w:sz="0" w:space="0" w:color="auto"/>
      </w:divBdr>
    </w:div>
    <w:div w:id="889346010">
      <w:bodyDiv w:val="1"/>
      <w:marLeft w:val="0"/>
      <w:marRight w:val="0"/>
      <w:marTop w:val="0"/>
      <w:marBottom w:val="0"/>
      <w:divBdr>
        <w:top w:val="none" w:sz="0" w:space="0" w:color="auto"/>
        <w:left w:val="none" w:sz="0" w:space="0" w:color="auto"/>
        <w:bottom w:val="none" w:sz="0" w:space="0" w:color="auto"/>
        <w:right w:val="none" w:sz="0" w:space="0" w:color="auto"/>
      </w:divBdr>
    </w:div>
    <w:div w:id="900948914">
      <w:bodyDiv w:val="1"/>
      <w:marLeft w:val="0"/>
      <w:marRight w:val="0"/>
      <w:marTop w:val="0"/>
      <w:marBottom w:val="0"/>
      <w:divBdr>
        <w:top w:val="none" w:sz="0" w:space="0" w:color="auto"/>
        <w:left w:val="none" w:sz="0" w:space="0" w:color="auto"/>
        <w:bottom w:val="none" w:sz="0" w:space="0" w:color="auto"/>
        <w:right w:val="none" w:sz="0" w:space="0" w:color="auto"/>
      </w:divBdr>
    </w:div>
    <w:div w:id="905382850">
      <w:bodyDiv w:val="1"/>
      <w:marLeft w:val="0"/>
      <w:marRight w:val="0"/>
      <w:marTop w:val="0"/>
      <w:marBottom w:val="0"/>
      <w:divBdr>
        <w:top w:val="none" w:sz="0" w:space="0" w:color="auto"/>
        <w:left w:val="none" w:sz="0" w:space="0" w:color="auto"/>
        <w:bottom w:val="none" w:sz="0" w:space="0" w:color="auto"/>
        <w:right w:val="none" w:sz="0" w:space="0" w:color="auto"/>
      </w:divBdr>
    </w:div>
    <w:div w:id="907304788">
      <w:bodyDiv w:val="1"/>
      <w:marLeft w:val="0"/>
      <w:marRight w:val="0"/>
      <w:marTop w:val="0"/>
      <w:marBottom w:val="0"/>
      <w:divBdr>
        <w:top w:val="none" w:sz="0" w:space="0" w:color="auto"/>
        <w:left w:val="none" w:sz="0" w:space="0" w:color="auto"/>
        <w:bottom w:val="none" w:sz="0" w:space="0" w:color="auto"/>
        <w:right w:val="none" w:sz="0" w:space="0" w:color="auto"/>
      </w:divBdr>
    </w:div>
    <w:div w:id="962464347">
      <w:bodyDiv w:val="1"/>
      <w:marLeft w:val="0"/>
      <w:marRight w:val="0"/>
      <w:marTop w:val="0"/>
      <w:marBottom w:val="0"/>
      <w:divBdr>
        <w:top w:val="none" w:sz="0" w:space="0" w:color="auto"/>
        <w:left w:val="none" w:sz="0" w:space="0" w:color="auto"/>
        <w:bottom w:val="none" w:sz="0" w:space="0" w:color="auto"/>
        <w:right w:val="none" w:sz="0" w:space="0" w:color="auto"/>
      </w:divBdr>
    </w:div>
    <w:div w:id="1062093739">
      <w:bodyDiv w:val="1"/>
      <w:marLeft w:val="0"/>
      <w:marRight w:val="0"/>
      <w:marTop w:val="0"/>
      <w:marBottom w:val="0"/>
      <w:divBdr>
        <w:top w:val="none" w:sz="0" w:space="0" w:color="auto"/>
        <w:left w:val="none" w:sz="0" w:space="0" w:color="auto"/>
        <w:bottom w:val="none" w:sz="0" w:space="0" w:color="auto"/>
        <w:right w:val="none" w:sz="0" w:space="0" w:color="auto"/>
      </w:divBdr>
    </w:div>
    <w:div w:id="1147745814">
      <w:bodyDiv w:val="1"/>
      <w:marLeft w:val="0"/>
      <w:marRight w:val="0"/>
      <w:marTop w:val="0"/>
      <w:marBottom w:val="0"/>
      <w:divBdr>
        <w:top w:val="none" w:sz="0" w:space="0" w:color="auto"/>
        <w:left w:val="none" w:sz="0" w:space="0" w:color="auto"/>
        <w:bottom w:val="none" w:sz="0" w:space="0" w:color="auto"/>
        <w:right w:val="none" w:sz="0" w:space="0" w:color="auto"/>
      </w:divBdr>
    </w:div>
    <w:div w:id="1214730126">
      <w:bodyDiv w:val="1"/>
      <w:marLeft w:val="0"/>
      <w:marRight w:val="0"/>
      <w:marTop w:val="0"/>
      <w:marBottom w:val="0"/>
      <w:divBdr>
        <w:top w:val="none" w:sz="0" w:space="0" w:color="auto"/>
        <w:left w:val="none" w:sz="0" w:space="0" w:color="auto"/>
        <w:bottom w:val="none" w:sz="0" w:space="0" w:color="auto"/>
        <w:right w:val="none" w:sz="0" w:space="0" w:color="auto"/>
      </w:divBdr>
    </w:div>
    <w:div w:id="1248071688">
      <w:bodyDiv w:val="1"/>
      <w:marLeft w:val="0"/>
      <w:marRight w:val="0"/>
      <w:marTop w:val="0"/>
      <w:marBottom w:val="0"/>
      <w:divBdr>
        <w:top w:val="none" w:sz="0" w:space="0" w:color="auto"/>
        <w:left w:val="none" w:sz="0" w:space="0" w:color="auto"/>
        <w:bottom w:val="none" w:sz="0" w:space="0" w:color="auto"/>
        <w:right w:val="none" w:sz="0" w:space="0" w:color="auto"/>
      </w:divBdr>
    </w:div>
    <w:div w:id="1266033273">
      <w:bodyDiv w:val="1"/>
      <w:marLeft w:val="0"/>
      <w:marRight w:val="0"/>
      <w:marTop w:val="0"/>
      <w:marBottom w:val="0"/>
      <w:divBdr>
        <w:top w:val="none" w:sz="0" w:space="0" w:color="auto"/>
        <w:left w:val="none" w:sz="0" w:space="0" w:color="auto"/>
        <w:bottom w:val="none" w:sz="0" w:space="0" w:color="auto"/>
        <w:right w:val="none" w:sz="0" w:space="0" w:color="auto"/>
      </w:divBdr>
    </w:div>
    <w:div w:id="1424690410">
      <w:bodyDiv w:val="1"/>
      <w:marLeft w:val="0"/>
      <w:marRight w:val="0"/>
      <w:marTop w:val="0"/>
      <w:marBottom w:val="0"/>
      <w:divBdr>
        <w:top w:val="none" w:sz="0" w:space="0" w:color="auto"/>
        <w:left w:val="none" w:sz="0" w:space="0" w:color="auto"/>
        <w:bottom w:val="none" w:sz="0" w:space="0" w:color="auto"/>
        <w:right w:val="none" w:sz="0" w:space="0" w:color="auto"/>
      </w:divBdr>
    </w:div>
    <w:div w:id="1448039670">
      <w:bodyDiv w:val="1"/>
      <w:marLeft w:val="0"/>
      <w:marRight w:val="0"/>
      <w:marTop w:val="0"/>
      <w:marBottom w:val="0"/>
      <w:divBdr>
        <w:top w:val="none" w:sz="0" w:space="0" w:color="auto"/>
        <w:left w:val="none" w:sz="0" w:space="0" w:color="auto"/>
        <w:bottom w:val="none" w:sz="0" w:space="0" w:color="auto"/>
        <w:right w:val="none" w:sz="0" w:space="0" w:color="auto"/>
      </w:divBdr>
    </w:div>
    <w:div w:id="1479568449">
      <w:bodyDiv w:val="1"/>
      <w:marLeft w:val="0"/>
      <w:marRight w:val="0"/>
      <w:marTop w:val="0"/>
      <w:marBottom w:val="0"/>
      <w:divBdr>
        <w:top w:val="none" w:sz="0" w:space="0" w:color="auto"/>
        <w:left w:val="none" w:sz="0" w:space="0" w:color="auto"/>
        <w:bottom w:val="none" w:sz="0" w:space="0" w:color="auto"/>
        <w:right w:val="none" w:sz="0" w:space="0" w:color="auto"/>
      </w:divBdr>
    </w:div>
    <w:div w:id="1501894364">
      <w:bodyDiv w:val="1"/>
      <w:marLeft w:val="0"/>
      <w:marRight w:val="0"/>
      <w:marTop w:val="0"/>
      <w:marBottom w:val="0"/>
      <w:divBdr>
        <w:top w:val="none" w:sz="0" w:space="0" w:color="auto"/>
        <w:left w:val="none" w:sz="0" w:space="0" w:color="auto"/>
        <w:bottom w:val="none" w:sz="0" w:space="0" w:color="auto"/>
        <w:right w:val="none" w:sz="0" w:space="0" w:color="auto"/>
      </w:divBdr>
    </w:div>
    <w:div w:id="1507018397">
      <w:bodyDiv w:val="1"/>
      <w:marLeft w:val="0"/>
      <w:marRight w:val="0"/>
      <w:marTop w:val="0"/>
      <w:marBottom w:val="0"/>
      <w:divBdr>
        <w:top w:val="none" w:sz="0" w:space="0" w:color="auto"/>
        <w:left w:val="none" w:sz="0" w:space="0" w:color="auto"/>
        <w:bottom w:val="none" w:sz="0" w:space="0" w:color="auto"/>
        <w:right w:val="none" w:sz="0" w:space="0" w:color="auto"/>
      </w:divBdr>
    </w:div>
    <w:div w:id="1566526786">
      <w:bodyDiv w:val="1"/>
      <w:marLeft w:val="0"/>
      <w:marRight w:val="0"/>
      <w:marTop w:val="0"/>
      <w:marBottom w:val="0"/>
      <w:divBdr>
        <w:top w:val="none" w:sz="0" w:space="0" w:color="auto"/>
        <w:left w:val="none" w:sz="0" w:space="0" w:color="auto"/>
        <w:bottom w:val="none" w:sz="0" w:space="0" w:color="auto"/>
        <w:right w:val="none" w:sz="0" w:space="0" w:color="auto"/>
      </w:divBdr>
    </w:div>
    <w:div w:id="1569194990">
      <w:bodyDiv w:val="1"/>
      <w:marLeft w:val="0"/>
      <w:marRight w:val="0"/>
      <w:marTop w:val="0"/>
      <w:marBottom w:val="0"/>
      <w:divBdr>
        <w:top w:val="none" w:sz="0" w:space="0" w:color="auto"/>
        <w:left w:val="none" w:sz="0" w:space="0" w:color="auto"/>
        <w:bottom w:val="none" w:sz="0" w:space="0" w:color="auto"/>
        <w:right w:val="none" w:sz="0" w:space="0" w:color="auto"/>
      </w:divBdr>
      <w:divsChild>
        <w:div w:id="132453433">
          <w:marLeft w:val="0"/>
          <w:marRight w:val="0"/>
          <w:marTop w:val="0"/>
          <w:marBottom w:val="0"/>
          <w:divBdr>
            <w:top w:val="none" w:sz="0" w:space="0" w:color="auto"/>
            <w:left w:val="none" w:sz="0" w:space="0" w:color="auto"/>
            <w:bottom w:val="none" w:sz="0" w:space="0" w:color="auto"/>
            <w:right w:val="none" w:sz="0" w:space="0" w:color="auto"/>
          </w:divBdr>
        </w:div>
      </w:divsChild>
    </w:div>
    <w:div w:id="1579823354">
      <w:bodyDiv w:val="1"/>
      <w:marLeft w:val="0"/>
      <w:marRight w:val="0"/>
      <w:marTop w:val="0"/>
      <w:marBottom w:val="0"/>
      <w:divBdr>
        <w:top w:val="none" w:sz="0" w:space="0" w:color="auto"/>
        <w:left w:val="none" w:sz="0" w:space="0" w:color="auto"/>
        <w:bottom w:val="none" w:sz="0" w:space="0" w:color="auto"/>
        <w:right w:val="none" w:sz="0" w:space="0" w:color="auto"/>
      </w:divBdr>
    </w:div>
    <w:div w:id="1615362382">
      <w:bodyDiv w:val="1"/>
      <w:marLeft w:val="0"/>
      <w:marRight w:val="0"/>
      <w:marTop w:val="0"/>
      <w:marBottom w:val="0"/>
      <w:divBdr>
        <w:top w:val="none" w:sz="0" w:space="0" w:color="auto"/>
        <w:left w:val="none" w:sz="0" w:space="0" w:color="auto"/>
        <w:bottom w:val="none" w:sz="0" w:space="0" w:color="auto"/>
        <w:right w:val="none" w:sz="0" w:space="0" w:color="auto"/>
      </w:divBdr>
    </w:div>
    <w:div w:id="1636636359">
      <w:bodyDiv w:val="1"/>
      <w:marLeft w:val="0"/>
      <w:marRight w:val="0"/>
      <w:marTop w:val="0"/>
      <w:marBottom w:val="0"/>
      <w:divBdr>
        <w:top w:val="none" w:sz="0" w:space="0" w:color="auto"/>
        <w:left w:val="none" w:sz="0" w:space="0" w:color="auto"/>
        <w:bottom w:val="none" w:sz="0" w:space="0" w:color="auto"/>
        <w:right w:val="none" w:sz="0" w:space="0" w:color="auto"/>
      </w:divBdr>
      <w:divsChild>
        <w:div w:id="1365254008">
          <w:marLeft w:val="0"/>
          <w:marRight w:val="0"/>
          <w:marTop w:val="0"/>
          <w:marBottom w:val="0"/>
          <w:divBdr>
            <w:top w:val="none" w:sz="0" w:space="0" w:color="auto"/>
            <w:left w:val="none" w:sz="0" w:space="0" w:color="auto"/>
            <w:bottom w:val="none" w:sz="0" w:space="0" w:color="auto"/>
            <w:right w:val="none" w:sz="0" w:space="0" w:color="auto"/>
          </w:divBdr>
          <w:divsChild>
            <w:div w:id="1375084965">
              <w:marLeft w:val="0"/>
              <w:marRight w:val="0"/>
              <w:marTop w:val="0"/>
              <w:marBottom w:val="0"/>
              <w:divBdr>
                <w:top w:val="none" w:sz="0" w:space="0" w:color="auto"/>
                <w:left w:val="none" w:sz="0" w:space="0" w:color="auto"/>
                <w:bottom w:val="none" w:sz="0" w:space="0" w:color="auto"/>
                <w:right w:val="none" w:sz="0" w:space="0" w:color="auto"/>
              </w:divBdr>
              <w:divsChild>
                <w:div w:id="2061976106">
                  <w:marLeft w:val="0"/>
                  <w:marRight w:val="0"/>
                  <w:marTop w:val="0"/>
                  <w:marBottom w:val="0"/>
                  <w:divBdr>
                    <w:top w:val="none" w:sz="0" w:space="0" w:color="auto"/>
                    <w:left w:val="none" w:sz="0" w:space="0" w:color="auto"/>
                    <w:bottom w:val="none" w:sz="0" w:space="0" w:color="auto"/>
                    <w:right w:val="none" w:sz="0" w:space="0" w:color="auto"/>
                  </w:divBdr>
                  <w:divsChild>
                    <w:div w:id="361517772">
                      <w:marLeft w:val="0"/>
                      <w:marRight w:val="0"/>
                      <w:marTop w:val="0"/>
                      <w:marBottom w:val="0"/>
                      <w:divBdr>
                        <w:top w:val="none" w:sz="0" w:space="0" w:color="auto"/>
                        <w:left w:val="none" w:sz="0" w:space="0" w:color="auto"/>
                        <w:bottom w:val="none" w:sz="0" w:space="0" w:color="auto"/>
                        <w:right w:val="none" w:sz="0" w:space="0" w:color="auto"/>
                      </w:divBdr>
                      <w:divsChild>
                        <w:div w:id="1306281392">
                          <w:marLeft w:val="0"/>
                          <w:marRight w:val="0"/>
                          <w:marTop w:val="0"/>
                          <w:marBottom w:val="0"/>
                          <w:divBdr>
                            <w:top w:val="none" w:sz="0" w:space="0" w:color="auto"/>
                            <w:left w:val="none" w:sz="0" w:space="0" w:color="auto"/>
                            <w:bottom w:val="none" w:sz="0" w:space="0" w:color="auto"/>
                            <w:right w:val="none" w:sz="0" w:space="0" w:color="auto"/>
                          </w:divBdr>
                          <w:divsChild>
                            <w:div w:id="2494320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433510">
      <w:bodyDiv w:val="1"/>
      <w:marLeft w:val="0"/>
      <w:marRight w:val="0"/>
      <w:marTop w:val="0"/>
      <w:marBottom w:val="0"/>
      <w:divBdr>
        <w:top w:val="none" w:sz="0" w:space="0" w:color="auto"/>
        <w:left w:val="none" w:sz="0" w:space="0" w:color="auto"/>
        <w:bottom w:val="none" w:sz="0" w:space="0" w:color="auto"/>
        <w:right w:val="none" w:sz="0" w:space="0" w:color="auto"/>
      </w:divBdr>
    </w:div>
    <w:div w:id="1665549557">
      <w:bodyDiv w:val="1"/>
      <w:marLeft w:val="0"/>
      <w:marRight w:val="0"/>
      <w:marTop w:val="0"/>
      <w:marBottom w:val="0"/>
      <w:divBdr>
        <w:top w:val="none" w:sz="0" w:space="0" w:color="auto"/>
        <w:left w:val="none" w:sz="0" w:space="0" w:color="auto"/>
        <w:bottom w:val="none" w:sz="0" w:space="0" w:color="auto"/>
        <w:right w:val="none" w:sz="0" w:space="0" w:color="auto"/>
      </w:divBdr>
    </w:div>
    <w:div w:id="1704859830">
      <w:bodyDiv w:val="1"/>
      <w:marLeft w:val="0"/>
      <w:marRight w:val="0"/>
      <w:marTop w:val="0"/>
      <w:marBottom w:val="0"/>
      <w:divBdr>
        <w:top w:val="none" w:sz="0" w:space="0" w:color="auto"/>
        <w:left w:val="none" w:sz="0" w:space="0" w:color="auto"/>
        <w:bottom w:val="none" w:sz="0" w:space="0" w:color="auto"/>
        <w:right w:val="none" w:sz="0" w:space="0" w:color="auto"/>
      </w:divBdr>
    </w:div>
    <w:div w:id="1721586216">
      <w:bodyDiv w:val="1"/>
      <w:marLeft w:val="0"/>
      <w:marRight w:val="0"/>
      <w:marTop w:val="0"/>
      <w:marBottom w:val="0"/>
      <w:divBdr>
        <w:top w:val="none" w:sz="0" w:space="0" w:color="auto"/>
        <w:left w:val="none" w:sz="0" w:space="0" w:color="auto"/>
        <w:bottom w:val="none" w:sz="0" w:space="0" w:color="auto"/>
        <w:right w:val="none" w:sz="0" w:space="0" w:color="auto"/>
      </w:divBdr>
    </w:div>
    <w:div w:id="1727802533">
      <w:bodyDiv w:val="1"/>
      <w:marLeft w:val="0"/>
      <w:marRight w:val="0"/>
      <w:marTop w:val="0"/>
      <w:marBottom w:val="0"/>
      <w:divBdr>
        <w:top w:val="none" w:sz="0" w:space="0" w:color="auto"/>
        <w:left w:val="none" w:sz="0" w:space="0" w:color="auto"/>
        <w:bottom w:val="none" w:sz="0" w:space="0" w:color="auto"/>
        <w:right w:val="none" w:sz="0" w:space="0" w:color="auto"/>
      </w:divBdr>
    </w:div>
    <w:div w:id="1765493035">
      <w:bodyDiv w:val="1"/>
      <w:marLeft w:val="0"/>
      <w:marRight w:val="0"/>
      <w:marTop w:val="0"/>
      <w:marBottom w:val="0"/>
      <w:divBdr>
        <w:top w:val="none" w:sz="0" w:space="0" w:color="auto"/>
        <w:left w:val="none" w:sz="0" w:space="0" w:color="auto"/>
        <w:bottom w:val="none" w:sz="0" w:space="0" w:color="auto"/>
        <w:right w:val="none" w:sz="0" w:space="0" w:color="auto"/>
      </w:divBdr>
      <w:divsChild>
        <w:div w:id="1650939239">
          <w:marLeft w:val="134"/>
          <w:marRight w:val="134"/>
          <w:marTop w:val="50"/>
          <w:marBottom w:val="0"/>
          <w:divBdr>
            <w:top w:val="none" w:sz="0" w:space="0" w:color="auto"/>
            <w:left w:val="none" w:sz="0" w:space="0" w:color="auto"/>
            <w:bottom w:val="none" w:sz="0" w:space="0" w:color="auto"/>
            <w:right w:val="none" w:sz="0" w:space="0" w:color="auto"/>
          </w:divBdr>
          <w:divsChild>
            <w:div w:id="18608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42905">
      <w:bodyDiv w:val="1"/>
      <w:marLeft w:val="0"/>
      <w:marRight w:val="0"/>
      <w:marTop w:val="0"/>
      <w:marBottom w:val="0"/>
      <w:divBdr>
        <w:top w:val="none" w:sz="0" w:space="0" w:color="auto"/>
        <w:left w:val="none" w:sz="0" w:space="0" w:color="auto"/>
        <w:bottom w:val="none" w:sz="0" w:space="0" w:color="auto"/>
        <w:right w:val="none" w:sz="0" w:space="0" w:color="auto"/>
      </w:divBdr>
    </w:div>
    <w:div w:id="1941644506">
      <w:bodyDiv w:val="1"/>
      <w:marLeft w:val="0"/>
      <w:marRight w:val="0"/>
      <w:marTop w:val="0"/>
      <w:marBottom w:val="0"/>
      <w:divBdr>
        <w:top w:val="none" w:sz="0" w:space="0" w:color="auto"/>
        <w:left w:val="none" w:sz="0" w:space="0" w:color="auto"/>
        <w:bottom w:val="none" w:sz="0" w:space="0" w:color="auto"/>
        <w:right w:val="none" w:sz="0" w:space="0" w:color="auto"/>
      </w:divBdr>
    </w:div>
    <w:div w:id="1995987005">
      <w:bodyDiv w:val="1"/>
      <w:marLeft w:val="0"/>
      <w:marRight w:val="0"/>
      <w:marTop w:val="0"/>
      <w:marBottom w:val="0"/>
      <w:divBdr>
        <w:top w:val="none" w:sz="0" w:space="0" w:color="auto"/>
        <w:left w:val="none" w:sz="0" w:space="0" w:color="auto"/>
        <w:bottom w:val="none" w:sz="0" w:space="0" w:color="auto"/>
        <w:right w:val="none" w:sz="0" w:space="0" w:color="auto"/>
      </w:divBdr>
    </w:div>
    <w:div w:id="2048331276">
      <w:bodyDiv w:val="1"/>
      <w:marLeft w:val="0"/>
      <w:marRight w:val="0"/>
      <w:marTop w:val="0"/>
      <w:marBottom w:val="0"/>
      <w:divBdr>
        <w:top w:val="none" w:sz="0" w:space="0" w:color="auto"/>
        <w:left w:val="none" w:sz="0" w:space="0" w:color="auto"/>
        <w:bottom w:val="none" w:sz="0" w:space="0" w:color="auto"/>
        <w:right w:val="none" w:sz="0" w:space="0" w:color="auto"/>
      </w:divBdr>
    </w:div>
    <w:div w:id="2108691833">
      <w:bodyDiv w:val="1"/>
      <w:marLeft w:val="0"/>
      <w:marRight w:val="0"/>
      <w:marTop w:val="0"/>
      <w:marBottom w:val="0"/>
      <w:divBdr>
        <w:top w:val="none" w:sz="0" w:space="0" w:color="auto"/>
        <w:left w:val="none" w:sz="0" w:space="0" w:color="auto"/>
        <w:bottom w:val="none" w:sz="0" w:space="0" w:color="auto"/>
        <w:right w:val="none" w:sz="0" w:space="0" w:color="auto"/>
      </w:divBdr>
    </w:div>
    <w:div w:id="2127504674">
      <w:bodyDiv w:val="1"/>
      <w:marLeft w:val="0"/>
      <w:marRight w:val="0"/>
      <w:marTop w:val="0"/>
      <w:marBottom w:val="0"/>
      <w:divBdr>
        <w:top w:val="none" w:sz="0" w:space="0" w:color="auto"/>
        <w:left w:val="none" w:sz="0" w:space="0" w:color="auto"/>
        <w:bottom w:val="none" w:sz="0" w:space="0" w:color="auto"/>
        <w:right w:val="none" w:sz="0" w:space="0" w:color="auto"/>
      </w:divBdr>
    </w:div>
    <w:div w:id="21311690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cj.org/wp-content/uploads/2021/08/2009-CCJ-5-TCL-v-Guyana-2_CD.pdf" TargetMode="External"/><Relationship Id="rId18" Type="http://schemas.openxmlformats.org/officeDocument/2006/relationships/hyperlink" Target="https://urldefense.com/v3/__https:/rm.coe.int/law-on-international-private-and-procedure-law/1680a3bcae__;!!L4CEoEA!olayfyIiu0FKC0Y-L5R7Cev0atRGTwuiR3dBvYWe9NIgLfyDG7-JKY5ERCYwnIvtWSUX7RmVKKiF7E19igTBwgxVKnlO7noqjA$" TargetMode="External"/><Relationship Id="rId26" Type="http://schemas.openxmlformats.org/officeDocument/2006/relationships/hyperlink" Target="https://bills.parliament.uk/bills/3766" TargetMode="External"/><Relationship Id="rId3" Type="http://schemas.openxmlformats.org/officeDocument/2006/relationships/styles" Target="styles.xml"/><Relationship Id="rId21" Type="http://schemas.openxmlformats.org/officeDocument/2006/relationships/hyperlink" Target="https://www.bailii.org/ew/cases/EWHC/Comm/2020/3688.html" TargetMode="External"/><Relationship Id="rId7" Type="http://schemas.openxmlformats.org/officeDocument/2006/relationships/endnotes" Target="endnotes.xml"/><Relationship Id="rId12" Type="http://schemas.openxmlformats.org/officeDocument/2006/relationships/hyperlink" Target="https://curia.europa.eu/juris/document/document.jsf?text=&amp;docid=212908&amp;pageIndex=0&amp;doclang=EN&amp;mode=lst&amp;dir=&amp;occ=first&amp;part=1&amp;cid=8115871" TargetMode="External"/><Relationship Id="rId17" Type="http://schemas.openxmlformats.org/officeDocument/2006/relationships/hyperlink" Target="https://www.matrixlaw.co.uk/wp-content/uploads/2017/11/Belize-Bank-Limited-v-Attorney-General-of-Belize-2017-CCJ-18-AJ-1.pdf" TargetMode="External"/><Relationship Id="rId25" Type="http://schemas.openxmlformats.org/officeDocument/2006/relationships/hyperlink" Target="https://www.bailii.org/ew/cases/EWHC/KB/2023/2974.html" TargetMode="External"/><Relationship Id="rId2" Type="http://schemas.openxmlformats.org/officeDocument/2006/relationships/numbering" Target="numbering.xml"/><Relationship Id="rId16" Type="http://schemas.openxmlformats.org/officeDocument/2006/relationships/hyperlink" Target="https://ccj.org/wp-content/uploads/2021/08/2009-CCJ-5-TCL-v-Guyana-2_CD.pdf" TargetMode="External"/><Relationship Id="rId20" Type="http://schemas.openxmlformats.org/officeDocument/2006/relationships/hyperlink" Target="https://www.bailii.org/ew/cases/EWHC/Comm/2019/3556.htm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lex.europa.eu/legal-content/EN/TXT/HTML/?uri=CELEX:62020CJ0242&amp;qid=1659500492639" TargetMode="External"/><Relationship Id="rId24" Type="http://schemas.openxmlformats.org/officeDocument/2006/relationships/hyperlink" Target="https://www.bailii.org/ew/cases/EWHC/Ch/2024/2342.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cj.org/wp-content/uploads/2021/08/2012-CCJ-2-Hummingbird-Rice-Mills-v-Suriname-2_CD.pdf" TargetMode="External"/><Relationship Id="rId23" Type="http://schemas.openxmlformats.org/officeDocument/2006/relationships/hyperlink" Target="https://www.bailii.org/ew/cases/EWHC/Ch/2022/667.html" TargetMode="External"/><Relationship Id="rId28" Type="http://schemas.openxmlformats.org/officeDocument/2006/relationships/hyperlink" Target="https://eur-lex.europa.eu/legal-content/EN/TXT/HTML/?uri=OJ:L_202401069" TargetMode="External"/><Relationship Id="rId10" Type="http://schemas.openxmlformats.org/officeDocument/2006/relationships/hyperlink" Target="https://juris.bundesgerichtshof.de/cgi-bin/rechtsprechung/document.py?Gericht=bgh&amp;Art=en&amp;sid=6254bd5e0dda2042f911700a25a667de&amp;nr=118030&amp;anz=1&amp;pos=0" TargetMode="External"/><Relationship Id="rId19" Type="http://schemas.openxmlformats.org/officeDocument/2006/relationships/hyperlink" Target="https://urldefense.com/v3/__https:/www.anayasa.gov.tr/en/home-page/__;!!L4CEoEA!olayfyIiu0FKC0Y-L5R7Cev0atRGTwuiR3dBvYWe9NIgLfyDG7-JKY5ERCYwnIvtWSUX7RmVKKiF7E19igTBwgxVKnl8BcS5k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uria.europa.eu/juris/document/document.jsf;jsessionid=D5EC9A3ECFE0E3941D9649B5B3D975DE?text=&amp;docid=234206&amp;pageIndex=0&amp;doclang=EN&amp;mode=lst&amp;dir=&amp;occ=first&amp;part=1&amp;cid=8113619" TargetMode="External"/><Relationship Id="rId14" Type="http://schemas.openxmlformats.org/officeDocument/2006/relationships/hyperlink" Target="https://ccj.org/wp-content/uploads/2021/08/2014-CCJ-2-Tomlinson-v-Belize-1_CD.pdf" TargetMode="External"/><Relationship Id="rId22" Type="http://schemas.openxmlformats.org/officeDocument/2006/relationships/hyperlink" Target="https://www.bailii.org/ew/cases/EWHC/Comm/2021/2254.html" TargetMode="External"/><Relationship Id="rId27" Type="http://schemas.openxmlformats.org/officeDocument/2006/relationships/hyperlink" Target="https://law.justia.com/cases/federal/appellate-courts/F3/323/1233/575851/" TargetMode="Externa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D47C7-55B7-47D8-9FF4-87B2C8AB5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4536</Words>
  <Characters>24950</Characters>
  <Application>Microsoft Office Word</Application>
  <DocSecurity>0</DocSecurity>
  <Lines>207</Lines>
  <Paragraphs>58</Paragraphs>
  <ScaleCrop>false</ScaleCrop>
  <HeadingPairs>
    <vt:vector size="8" baseType="variant">
      <vt:variant>
        <vt:lpstr>Titolo</vt:lpstr>
      </vt:variant>
      <vt:variant>
        <vt:i4>1</vt:i4>
      </vt:variant>
      <vt:variant>
        <vt:lpstr>Titre</vt:lpstr>
      </vt:variant>
      <vt:variant>
        <vt:i4>1</vt:i4>
      </vt:variant>
      <vt:variant>
        <vt:lpstr>Titel</vt:lpstr>
      </vt:variant>
      <vt:variant>
        <vt:i4>1</vt:i4>
      </vt:variant>
      <vt:variant>
        <vt:lpstr>Title</vt:lpstr>
      </vt:variant>
      <vt:variant>
        <vt:i4>1</vt:i4>
      </vt:variant>
    </vt:vector>
  </HeadingPairs>
  <TitlesOfParts>
    <vt:vector size="4" baseType="lpstr">
      <vt:lpstr/>
      <vt:lpstr/>
      <vt:lpstr/>
      <vt:lpstr/>
    </vt:vector>
  </TitlesOfParts>
  <Company>DFJP</Company>
  <LinksUpToDate>false</LinksUpToDate>
  <CharactersWithSpaces>29428</CharactersWithSpaces>
  <SharedDoc>false</SharedDoc>
  <HLinks>
    <vt:vector size="12" baseType="variant">
      <vt:variant>
        <vt:i4>6291456</vt:i4>
      </vt:variant>
      <vt:variant>
        <vt:i4>0</vt:i4>
      </vt:variant>
      <vt:variant>
        <vt:i4>0</vt:i4>
      </vt:variant>
      <vt:variant>
        <vt:i4>5</vt:i4>
      </vt:variant>
      <vt:variant>
        <vt:lpwstr>mailto:marie.papeil@isdc-dfjp.unil.ch</vt:lpwstr>
      </vt:variant>
      <vt:variant>
        <vt:lpwstr/>
      </vt:variant>
      <vt:variant>
        <vt:i4>6291491</vt:i4>
      </vt:variant>
      <vt:variant>
        <vt:i4>0</vt:i4>
      </vt:variant>
      <vt:variant>
        <vt:i4>0</vt:i4>
      </vt:variant>
      <vt:variant>
        <vt:i4>5</vt:i4>
      </vt:variant>
      <vt:variant>
        <vt:lpwstr>http://www.isdc.ch/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dc:creator>
  <cp:keywords/>
  <cp:lastModifiedBy>Marie-Laure Lauria</cp:lastModifiedBy>
  <cp:revision>2</cp:revision>
  <cp:lastPrinted>2025-09-09T11:11:00Z</cp:lastPrinted>
  <dcterms:created xsi:type="dcterms:W3CDTF">2025-11-19T13:33:00Z</dcterms:created>
  <dcterms:modified xsi:type="dcterms:W3CDTF">2025-11-19T13:33:00Z</dcterms:modified>
</cp:coreProperties>
</file>